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56B6" w14:textId="240E8491" w:rsidR="0059171A" w:rsidRPr="0037610B" w:rsidRDefault="0059171A" w:rsidP="00376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610B">
        <w:rPr>
          <w:rFonts w:ascii="Arial" w:hAnsi="Arial" w:cs="Arial"/>
          <w:b/>
          <w:sz w:val="24"/>
          <w:szCs w:val="24"/>
        </w:rPr>
        <w:t xml:space="preserve">Market Update for the </w:t>
      </w:r>
      <w:r w:rsidR="006C071D" w:rsidRPr="0037610B">
        <w:rPr>
          <w:rFonts w:ascii="Arial" w:hAnsi="Arial" w:cs="Arial"/>
          <w:b/>
          <w:sz w:val="24"/>
          <w:szCs w:val="24"/>
        </w:rPr>
        <w:t>Quarter</w:t>
      </w:r>
      <w:r w:rsidRPr="0037610B">
        <w:rPr>
          <w:rFonts w:ascii="Arial" w:hAnsi="Arial" w:cs="Arial"/>
          <w:b/>
          <w:sz w:val="24"/>
          <w:szCs w:val="24"/>
        </w:rPr>
        <w:t xml:space="preserve"> Ending </w:t>
      </w:r>
      <w:r w:rsidR="006C071D" w:rsidRPr="0037610B">
        <w:rPr>
          <w:rFonts w:ascii="Arial" w:hAnsi="Arial" w:cs="Arial"/>
          <w:b/>
          <w:sz w:val="24"/>
          <w:szCs w:val="24"/>
        </w:rPr>
        <w:t>March 31</w:t>
      </w:r>
      <w:r w:rsidRPr="0037610B">
        <w:rPr>
          <w:rFonts w:ascii="Arial" w:hAnsi="Arial" w:cs="Arial"/>
          <w:b/>
          <w:sz w:val="24"/>
          <w:szCs w:val="24"/>
        </w:rPr>
        <w:t>, 2021</w:t>
      </w:r>
    </w:p>
    <w:p w14:paraId="1AC04130" w14:textId="77777777" w:rsidR="0059171A" w:rsidRPr="0037610B" w:rsidRDefault="0059171A" w:rsidP="0037610B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37610B">
        <w:rPr>
          <w:rFonts w:ascii="Arial" w:hAnsi="Arial" w:cs="Arial"/>
          <w:i/>
          <w:sz w:val="20"/>
          <w:szCs w:val="20"/>
        </w:rPr>
        <w:t>Presented by</w:t>
      </w:r>
      <w:r w:rsidRPr="0037610B">
        <w:rPr>
          <w:rFonts w:ascii="Arial" w:hAnsi="Arial" w:cs="Arial"/>
          <w:i/>
          <w:color w:val="FF0000"/>
          <w:sz w:val="20"/>
          <w:szCs w:val="20"/>
        </w:rPr>
        <w:t xml:space="preserve"> Advisor Name</w:t>
      </w:r>
    </w:p>
    <w:p w14:paraId="2EC39BEA" w14:textId="2F339261" w:rsidR="0059171A" w:rsidRPr="0037610B" w:rsidRDefault="0059171A" w:rsidP="003761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29806D" w14:textId="67D0E3C2" w:rsidR="00B45E0B" w:rsidRPr="0037610B" w:rsidRDefault="00F96D6C" w:rsidP="003761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610B">
        <w:rPr>
          <w:rFonts w:ascii="Arial" w:hAnsi="Arial" w:cs="Arial"/>
          <w:b/>
          <w:bCs/>
          <w:sz w:val="20"/>
          <w:szCs w:val="20"/>
        </w:rPr>
        <w:t>Solid</w:t>
      </w:r>
      <w:r w:rsidR="00F46847" w:rsidRPr="0037610B">
        <w:rPr>
          <w:rFonts w:ascii="Arial" w:hAnsi="Arial" w:cs="Arial"/>
          <w:b/>
          <w:bCs/>
          <w:sz w:val="20"/>
          <w:szCs w:val="20"/>
        </w:rPr>
        <w:t xml:space="preserve"> </w:t>
      </w:r>
      <w:r w:rsidR="0037610B" w:rsidRPr="0037610B">
        <w:rPr>
          <w:rFonts w:ascii="Arial" w:hAnsi="Arial" w:cs="Arial"/>
          <w:b/>
          <w:bCs/>
          <w:sz w:val="20"/>
          <w:szCs w:val="20"/>
        </w:rPr>
        <w:t xml:space="preserve">Month Caps Positive Quarter </w:t>
      </w:r>
      <w:r w:rsidR="0037610B">
        <w:rPr>
          <w:rFonts w:ascii="Arial" w:hAnsi="Arial" w:cs="Arial"/>
          <w:b/>
          <w:bCs/>
          <w:sz w:val="20"/>
          <w:szCs w:val="20"/>
        </w:rPr>
        <w:t>f</w:t>
      </w:r>
      <w:r w:rsidR="0037610B" w:rsidRPr="0037610B">
        <w:rPr>
          <w:rFonts w:ascii="Arial" w:hAnsi="Arial" w:cs="Arial"/>
          <w:b/>
          <w:bCs/>
          <w:sz w:val="20"/>
          <w:szCs w:val="20"/>
        </w:rPr>
        <w:t>or Markets</w:t>
      </w:r>
    </w:p>
    <w:p w14:paraId="6C10422C" w14:textId="5763C5D4" w:rsidR="00B45E0B" w:rsidRPr="0037610B" w:rsidRDefault="00611479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>U</w:t>
      </w:r>
      <w:r w:rsidR="0037610B">
        <w:rPr>
          <w:rFonts w:ascii="Arial" w:hAnsi="Arial" w:cs="Arial"/>
          <w:sz w:val="20"/>
          <w:szCs w:val="20"/>
        </w:rPr>
        <w:t>.</w:t>
      </w:r>
      <w:r w:rsidRPr="0037610B">
        <w:rPr>
          <w:rFonts w:ascii="Arial" w:hAnsi="Arial" w:cs="Arial"/>
          <w:sz w:val="20"/>
          <w:szCs w:val="20"/>
        </w:rPr>
        <w:t>S</w:t>
      </w:r>
      <w:r w:rsidR="0037610B">
        <w:rPr>
          <w:rFonts w:ascii="Arial" w:hAnsi="Arial" w:cs="Arial"/>
          <w:sz w:val="20"/>
          <w:szCs w:val="20"/>
        </w:rPr>
        <w:t>.</w:t>
      </w:r>
      <w:r w:rsidRPr="0037610B">
        <w:rPr>
          <w:rFonts w:ascii="Arial" w:hAnsi="Arial" w:cs="Arial"/>
          <w:sz w:val="20"/>
          <w:szCs w:val="20"/>
        </w:rPr>
        <w:t xml:space="preserve"> </w:t>
      </w:r>
      <w:r w:rsidR="00CA6F74" w:rsidRPr="0037610B">
        <w:rPr>
          <w:rFonts w:ascii="Arial" w:hAnsi="Arial" w:cs="Arial"/>
          <w:sz w:val="20"/>
          <w:szCs w:val="20"/>
        </w:rPr>
        <w:t>stock</w:t>
      </w:r>
      <w:r w:rsidR="00F46847" w:rsidRPr="0037610B">
        <w:rPr>
          <w:rFonts w:ascii="Arial" w:hAnsi="Arial" w:cs="Arial"/>
          <w:sz w:val="20"/>
          <w:szCs w:val="20"/>
        </w:rPr>
        <w:t xml:space="preserve"> </w:t>
      </w:r>
      <w:r w:rsidR="0077713F" w:rsidRPr="0037610B">
        <w:rPr>
          <w:rFonts w:ascii="Arial" w:hAnsi="Arial" w:cs="Arial"/>
          <w:sz w:val="20"/>
          <w:szCs w:val="20"/>
        </w:rPr>
        <w:t xml:space="preserve">markets </w:t>
      </w:r>
      <w:r w:rsidR="00F96D6C" w:rsidRPr="0037610B">
        <w:rPr>
          <w:rFonts w:ascii="Arial" w:hAnsi="Arial" w:cs="Arial"/>
          <w:sz w:val="20"/>
          <w:szCs w:val="20"/>
        </w:rPr>
        <w:t xml:space="preserve">saw </w:t>
      </w:r>
      <w:r w:rsidR="00CA6F74" w:rsidRPr="0037610B">
        <w:rPr>
          <w:rFonts w:ascii="Arial" w:hAnsi="Arial" w:cs="Arial"/>
          <w:sz w:val="20"/>
          <w:szCs w:val="20"/>
        </w:rPr>
        <w:t>gains</w:t>
      </w:r>
      <w:r w:rsidR="00F96D6C" w:rsidRPr="0037610B">
        <w:rPr>
          <w:rFonts w:ascii="Arial" w:hAnsi="Arial" w:cs="Arial"/>
          <w:sz w:val="20"/>
          <w:szCs w:val="20"/>
        </w:rPr>
        <w:t xml:space="preserve"> for the month and quarter, </w:t>
      </w:r>
      <w:r w:rsidR="0037610B">
        <w:rPr>
          <w:rFonts w:ascii="Arial" w:hAnsi="Arial" w:cs="Arial"/>
          <w:sz w:val="20"/>
          <w:szCs w:val="20"/>
        </w:rPr>
        <w:t>but</w:t>
      </w:r>
      <w:r w:rsidR="00F96D6C" w:rsidRPr="0037610B">
        <w:rPr>
          <w:rFonts w:ascii="Arial" w:hAnsi="Arial" w:cs="Arial"/>
          <w:sz w:val="20"/>
          <w:szCs w:val="20"/>
        </w:rPr>
        <w:t xml:space="preserve"> </w:t>
      </w:r>
      <w:r w:rsidR="00CA6F74" w:rsidRPr="0037610B">
        <w:rPr>
          <w:rFonts w:ascii="Arial" w:hAnsi="Arial" w:cs="Arial"/>
          <w:sz w:val="20"/>
          <w:szCs w:val="20"/>
        </w:rPr>
        <w:t>not all stocks did well</w:t>
      </w:r>
      <w:r w:rsidR="0037610B">
        <w:rPr>
          <w:rFonts w:ascii="Arial" w:hAnsi="Arial" w:cs="Arial"/>
          <w:sz w:val="20"/>
          <w:szCs w:val="20"/>
        </w:rPr>
        <w:t>. H</w:t>
      </w:r>
      <w:r w:rsidR="00CA6F74" w:rsidRPr="0037610B">
        <w:rPr>
          <w:rFonts w:ascii="Arial" w:hAnsi="Arial" w:cs="Arial"/>
          <w:sz w:val="20"/>
          <w:szCs w:val="20"/>
        </w:rPr>
        <w:t xml:space="preserve">igher </w:t>
      </w:r>
      <w:r w:rsidR="00F46847" w:rsidRPr="0037610B">
        <w:rPr>
          <w:rFonts w:ascii="Arial" w:hAnsi="Arial" w:cs="Arial"/>
          <w:sz w:val="20"/>
          <w:szCs w:val="20"/>
        </w:rPr>
        <w:t xml:space="preserve">interest rates led to some volatility, especially for growth </w:t>
      </w:r>
      <w:r w:rsidR="00CA6F74" w:rsidRPr="0037610B">
        <w:rPr>
          <w:rFonts w:ascii="Arial" w:hAnsi="Arial" w:cs="Arial"/>
          <w:sz w:val="20"/>
          <w:szCs w:val="20"/>
        </w:rPr>
        <w:t>and technology c</w:t>
      </w:r>
      <w:r w:rsidR="00F46847" w:rsidRPr="0037610B">
        <w:rPr>
          <w:rFonts w:ascii="Arial" w:hAnsi="Arial" w:cs="Arial"/>
          <w:sz w:val="20"/>
          <w:szCs w:val="20"/>
        </w:rPr>
        <w:t xml:space="preserve">ompanies. The Nasdaq Composite </w:t>
      </w:r>
      <w:r w:rsidR="00F96D6C" w:rsidRPr="0037610B">
        <w:rPr>
          <w:rFonts w:ascii="Arial" w:hAnsi="Arial" w:cs="Arial"/>
          <w:sz w:val="20"/>
          <w:szCs w:val="20"/>
        </w:rPr>
        <w:t xml:space="preserve">gained </w:t>
      </w:r>
      <w:r w:rsidRPr="0037610B">
        <w:rPr>
          <w:rFonts w:ascii="Arial" w:hAnsi="Arial" w:cs="Arial"/>
          <w:sz w:val="20"/>
          <w:szCs w:val="20"/>
        </w:rPr>
        <w:t>0.48</w:t>
      </w:r>
      <w:r w:rsidR="00F46847" w:rsidRPr="0037610B">
        <w:rPr>
          <w:rFonts w:ascii="Arial" w:hAnsi="Arial" w:cs="Arial"/>
          <w:sz w:val="20"/>
          <w:szCs w:val="20"/>
        </w:rPr>
        <w:t xml:space="preserve"> percent during </w:t>
      </w:r>
      <w:r w:rsidR="00CA6F74" w:rsidRPr="0037610B">
        <w:rPr>
          <w:rFonts w:ascii="Arial" w:hAnsi="Arial" w:cs="Arial"/>
          <w:sz w:val="20"/>
          <w:szCs w:val="20"/>
        </w:rPr>
        <w:t>March</w:t>
      </w:r>
      <w:r w:rsidR="00F46847" w:rsidRPr="0037610B">
        <w:rPr>
          <w:rFonts w:ascii="Arial" w:hAnsi="Arial" w:cs="Arial"/>
          <w:sz w:val="20"/>
          <w:szCs w:val="20"/>
        </w:rPr>
        <w:t xml:space="preserve">, </w:t>
      </w:r>
      <w:r w:rsidR="0037610B">
        <w:rPr>
          <w:rFonts w:ascii="Arial" w:hAnsi="Arial" w:cs="Arial"/>
          <w:sz w:val="20"/>
          <w:szCs w:val="20"/>
        </w:rPr>
        <w:t>with</w:t>
      </w:r>
      <w:r w:rsidR="00F46847" w:rsidRPr="0037610B">
        <w:rPr>
          <w:rFonts w:ascii="Arial" w:hAnsi="Arial" w:cs="Arial"/>
          <w:sz w:val="20"/>
          <w:szCs w:val="20"/>
        </w:rPr>
        <w:t xml:space="preserve"> the heavy technology weighting dragg</w:t>
      </w:r>
      <w:r w:rsidR="0037610B">
        <w:rPr>
          <w:rFonts w:ascii="Arial" w:hAnsi="Arial" w:cs="Arial"/>
          <w:sz w:val="20"/>
          <w:szCs w:val="20"/>
        </w:rPr>
        <w:t>ing</w:t>
      </w:r>
      <w:r w:rsidR="00F46847" w:rsidRPr="0037610B">
        <w:rPr>
          <w:rFonts w:ascii="Arial" w:hAnsi="Arial" w:cs="Arial"/>
          <w:sz w:val="20"/>
          <w:szCs w:val="20"/>
        </w:rPr>
        <w:t xml:space="preserve"> down the index’s performance</w:t>
      </w:r>
      <w:r w:rsidR="0037610B">
        <w:rPr>
          <w:rFonts w:ascii="Arial" w:hAnsi="Arial" w:cs="Arial"/>
          <w:sz w:val="20"/>
          <w:szCs w:val="20"/>
        </w:rPr>
        <w:t>. T</w:t>
      </w:r>
      <w:r w:rsidR="00CA6F74" w:rsidRPr="0037610B">
        <w:rPr>
          <w:rFonts w:ascii="Arial" w:hAnsi="Arial" w:cs="Arial"/>
          <w:sz w:val="20"/>
          <w:szCs w:val="20"/>
        </w:rPr>
        <w:t>h</w:t>
      </w:r>
      <w:r w:rsidR="00F46847" w:rsidRPr="0037610B">
        <w:rPr>
          <w:rFonts w:ascii="Arial" w:hAnsi="Arial" w:cs="Arial"/>
          <w:sz w:val="20"/>
          <w:szCs w:val="20"/>
        </w:rPr>
        <w:t xml:space="preserve">e S&amp;P 500 and Dow Jones Industrial Average (DJIA) saw </w:t>
      </w:r>
      <w:r w:rsidR="00F96D6C" w:rsidRPr="0037610B">
        <w:rPr>
          <w:rFonts w:ascii="Arial" w:hAnsi="Arial" w:cs="Arial"/>
          <w:sz w:val="20"/>
          <w:szCs w:val="20"/>
        </w:rPr>
        <w:t xml:space="preserve">stronger </w:t>
      </w:r>
      <w:r w:rsidR="00F46847" w:rsidRPr="0037610B">
        <w:rPr>
          <w:rFonts w:ascii="Arial" w:hAnsi="Arial" w:cs="Arial"/>
          <w:sz w:val="20"/>
          <w:szCs w:val="20"/>
        </w:rPr>
        <w:t xml:space="preserve">results, </w:t>
      </w:r>
      <w:r w:rsidR="00CA6F74" w:rsidRPr="0037610B">
        <w:rPr>
          <w:rFonts w:ascii="Arial" w:hAnsi="Arial" w:cs="Arial"/>
          <w:sz w:val="20"/>
          <w:szCs w:val="20"/>
        </w:rPr>
        <w:t>up</w:t>
      </w:r>
      <w:r w:rsidR="00F46847" w:rsidRPr="0037610B">
        <w:rPr>
          <w:rFonts w:ascii="Arial" w:hAnsi="Arial" w:cs="Arial"/>
          <w:sz w:val="20"/>
          <w:szCs w:val="20"/>
        </w:rPr>
        <w:t xml:space="preserve"> by </w:t>
      </w:r>
      <w:r w:rsidRPr="0037610B">
        <w:rPr>
          <w:rFonts w:ascii="Arial" w:hAnsi="Arial" w:cs="Arial"/>
          <w:sz w:val="20"/>
          <w:szCs w:val="20"/>
        </w:rPr>
        <w:t xml:space="preserve">4.38 </w:t>
      </w:r>
      <w:r w:rsidR="00F46847" w:rsidRPr="0037610B">
        <w:rPr>
          <w:rFonts w:ascii="Arial" w:hAnsi="Arial" w:cs="Arial"/>
          <w:sz w:val="20"/>
          <w:szCs w:val="20"/>
        </w:rPr>
        <w:t xml:space="preserve">percent </w:t>
      </w:r>
      <w:r w:rsidR="0037610B">
        <w:rPr>
          <w:rFonts w:ascii="Arial" w:hAnsi="Arial" w:cs="Arial"/>
          <w:sz w:val="20"/>
          <w:szCs w:val="20"/>
        </w:rPr>
        <w:t>and</w:t>
      </w:r>
      <w:r w:rsidR="00F46847" w:rsidRPr="0037610B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 xml:space="preserve">6.78 </w:t>
      </w:r>
      <w:r w:rsidR="00F46847" w:rsidRPr="0037610B">
        <w:rPr>
          <w:rFonts w:ascii="Arial" w:hAnsi="Arial" w:cs="Arial"/>
          <w:sz w:val="20"/>
          <w:szCs w:val="20"/>
        </w:rPr>
        <w:t>percent</w:t>
      </w:r>
      <w:r w:rsidR="0037610B">
        <w:rPr>
          <w:rFonts w:ascii="Arial" w:hAnsi="Arial" w:cs="Arial"/>
          <w:sz w:val="20"/>
          <w:szCs w:val="20"/>
        </w:rPr>
        <w:t>, respectively</w:t>
      </w:r>
      <w:r w:rsidR="00F46847" w:rsidRPr="0037610B">
        <w:rPr>
          <w:rFonts w:ascii="Arial" w:hAnsi="Arial" w:cs="Arial"/>
          <w:sz w:val="20"/>
          <w:szCs w:val="20"/>
        </w:rPr>
        <w:t>. On a quarterly basis</w:t>
      </w:r>
      <w:r w:rsidR="0037610B">
        <w:rPr>
          <w:rFonts w:ascii="Arial" w:hAnsi="Arial" w:cs="Arial"/>
          <w:sz w:val="20"/>
          <w:szCs w:val="20"/>
        </w:rPr>
        <w:t>,</w:t>
      </w:r>
      <w:r w:rsidR="00F46847" w:rsidRPr="0037610B">
        <w:rPr>
          <w:rFonts w:ascii="Arial" w:hAnsi="Arial" w:cs="Arial"/>
          <w:sz w:val="20"/>
          <w:szCs w:val="20"/>
        </w:rPr>
        <w:t xml:space="preserve"> the Nasdaq Composite gained </w:t>
      </w:r>
      <w:r w:rsidRPr="0037610B">
        <w:rPr>
          <w:rFonts w:ascii="Arial" w:hAnsi="Arial" w:cs="Arial"/>
          <w:sz w:val="20"/>
          <w:szCs w:val="20"/>
        </w:rPr>
        <w:t xml:space="preserve">2.95 </w:t>
      </w:r>
      <w:r w:rsidR="00F46847" w:rsidRPr="0037610B">
        <w:rPr>
          <w:rFonts w:ascii="Arial" w:hAnsi="Arial" w:cs="Arial"/>
          <w:sz w:val="20"/>
          <w:szCs w:val="20"/>
        </w:rPr>
        <w:t>percent</w:t>
      </w:r>
      <w:r w:rsidR="0037610B">
        <w:rPr>
          <w:rFonts w:ascii="Arial" w:hAnsi="Arial" w:cs="Arial"/>
          <w:sz w:val="20"/>
          <w:szCs w:val="20"/>
        </w:rPr>
        <w:t>,</w:t>
      </w:r>
      <w:r w:rsidR="00F46847" w:rsidRPr="0037610B">
        <w:rPr>
          <w:rFonts w:ascii="Arial" w:hAnsi="Arial" w:cs="Arial"/>
          <w:sz w:val="20"/>
          <w:szCs w:val="20"/>
        </w:rPr>
        <w:t xml:space="preserve"> </w:t>
      </w:r>
      <w:r w:rsidR="00191936">
        <w:rPr>
          <w:rFonts w:ascii="Arial" w:hAnsi="Arial" w:cs="Arial"/>
          <w:sz w:val="20"/>
          <w:szCs w:val="20"/>
        </w:rPr>
        <w:t>and</w:t>
      </w:r>
      <w:r w:rsidR="00F46847" w:rsidRPr="0037610B">
        <w:rPr>
          <w:rFonts w:ascii="Arial" w:hAnsi="Arial" w:cs="Arial"/>
          <w:sz w:val="20"/>
          <w:szCs w:val="20"/>
        </w:rPr>
        <w:t xml:space="preserve"> the S&amp;P 500 </w:t>
      </w:r>
      <w:r w:rsidRPr="0037610B">
        <w:rPr>
          <w:rFonts w:ascii="Arial" w:hAnsi="Arial" w:cs="Arial"/>
          <w:sz w:val="20"/>
          <w:szCs w:val="20"/>
        </w:rPr>
        <w:t xml:space="preserve">managed a 6.18 </w:t>
      </w:r>
      <w:r w:rsidR="00F46847" w:rsidRPr="0037610B">
        <w:rPr>
          <w:rFonts w:ascii="Arial" w:hAnsi="Arial" w:cs="Arial"/>
          <w:sz w:val="20"/>
          <w:szCs w:val="20"/>
        </w:rPr>
        <w:t xml:space="preserve">percent </w:t>
      </w:r>
      <w:r w:rsidRPr="0037610B">
        <w:rPr>
          <w:rFonts w:ascii="Arial" w:hAnsi="Arial" w:cs="Arial"/>
          <w:sz w:val="20"/>
          <w:szCs w:val="20"/>
        </w:rPr>
        <w:t>gain. T</w:t>
      </w:r>
      <w:r w:rsidR="00F46847" w:rsidRPr="0037610B">
        <w:rPr>
          <w:rFonts w:ascii="Arial" w:hAnsi="Arial" w:cs="Arial"/>
          <w:sz w:val="20"/>
          <w:szCs w:val="20"/>
        </w:rPr>
        <w:t xml:space="preserve">he DJIA </w:t>
      </w:r>
      <w:r w:rsidRPr="0037610B">
        <w:rPr>
          <w:rFonts w:ascii="Arial" w:hAnsi="Arial" w:cs="Arial"/>
          <w:sz w:val="20"/>
          <w:szCs w:val="20"/>
        </w:rPr>
        <w:t>led the way with a</w:t>
      </w:r>
      <w:r w:rsidR="005974CC" w:rsidRPr="0037610B">
        <w:rPr>
          <w:rFonts w:ascii="Arial" w:hAnsi="Arial" w:cs="Arial"/>
          <w:sz w:val="20"/>
          <w:szCs w:val="20"/>
        </w:rPr>
        <w:t>n</w:t>
      </w:r>
      <w:r w:rsidRPr="0037610B">
        <w:rPr>
          <w:rFonts w:ascii="Arial" w:hAnsi="Arial" w:cs="Arial"/>
          <w:sz w:val="20"/>
          <w:szCs w:val="20"/>
        </w:rPr>
        <w:t xml:space="preserve"> 8.29 percent return</w:t>
      </w:r>
      <w:r w:rsidR="00F46847" w:rsidRPr="0037610B">
        <w:rPr>
          <w:rFonts w:ascii="Arial" w:hAnsi="Arial" w:cs="Arial"/>
          <w:sz w:val="20"/>
          <w:szCs w:val="20"/>
        </w:rPr>
        <w:t xml:space="preserve">. </w:t>
      </w:r>
    </w:p>
    <w:p w14:paraId="5F9E9826" w14:textId="0CE86ADB" w:rsidR="00B45E0B" w:rsidRPr="0037610B" w:rsidRDefault="00B45E0B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581BDD" w14:textId="3A85E2F0" w:rsidR="00B45E0B" w:rsidRPr="0037610B" w:rsidRDefault="00B45E0B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>These positive results coincided with better</w:t>
      </w:r>
      <w:r w:rsidR="00191936">
        <w:rPr>
          <w:rFonts w:ascii="Arial" w:hAnsi="Arial" w:cs="Arial"/>
          <w:sz w:val="20"/>
          <w:szCs w:val="20"/>
        </w:rPr>
        <w:t>-</w:t>
      </w:r>
      <w:r w:rsidRPr="0037610B">
        <w:rPr>
          <w:rFonts w:ascii="Arial" w:hAnsi="Arial" w:cs="Arial"/>
          <w:sz w:val="20"/>
          <w:szCs w:val="20"/>
        </w:rPr>
        <w:t>than</w:t>
      </w:r>
      <w:r w:rsidR="00191936">
        <w:rPr>
          <w:rFonts w:ascii="Arial" w:hAnsi="Arial" w:cs="Arial"/>
          <w:sz w:val="20"/>
          <w:szCs w:val="20"/>
        </w:rPr>
        <w:t>-</w:t>
      </w:r>
      <w:r w:rsidRPr="0037610B">
        <w:rPr>
          <w:rFonts w:ascii="Arial" w:hAnsi="Arial" w:cs="Arial"/>
          <w:sz w:val="20"/>
          <w:szCs w:val="20"/>
        </w:rPr>
        <w:t xml:space="preserve">expected earnings growth. </w:t>
      </w:r>
      <w:r w:rsidR="00191936">
        <w:rPr>
          <w:rFonts w:ascii="Arial" w:hAnsi="Arial" w:cs="Arial"/>
          <w:sz w:val="20"/>
          <w:szCs w:val="20"/>
        </w:rPr>
        <w:t>According to</w:t>
      </w:r>
      <w:r w:rsidRPr="0037610B">
        <w:rPr>
          <w:rFonts w:ascii="Arial" w:hAnsi="Arial" w:cs="Arial"/>
          <w:sz w:val="20"/>
          <w:szCs w:val="20"/>
        </w:rPr>
        <w:t xml:space="preserve"> Bloomberg Intelligence, as of March 30</w:t>
      </w:r>
      <w:r w:rsidR="00191936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 xml:space="preserve">with 99 percent of companies having reported, </w:t>
      </w:r>
      <w:r w:rsidR="00191936">
        <w:rPr>
          <w:rFonts w:ascii="Arial" w:hAnsi="Arial" w:cs="Arial"/>
          <w:sz w:val="20"/>
          <w:szCs w:val="20"/>
        </w:rPr>
        <w:t xml:space="preserve">fourth-quarter </w:t>
      </w:r>
      <w:r w:rsidR="00CA6F74" w:rsidRPr="0037610B">
        <w:rPr>
          <w:rFonts w:ascii="Arial" w:hAnsi="Arial" w:cs="Arial"/>
          <w:sz w:val="20"/>
          <w:szCs w:val="20"/>
        </w:rPr>
        <w:t xml:space="preserve">earnings </w:t>
      </w:r>
      <w:r w:rsidR="00806425" w:rsidRPr="0037610B">
        <w:rPr>
          <w:rFonts w:ascii="Arial" w:hAnsi="Arial" w:cs="Arial"/>
          <w:sz w:val="20"/>
          <w:szCs w:val="20"/>
        </w:rPr>
        <w:t>for the S&amp;P 500</w:t>
      </w:r>
      <w:r w:rsidR="00806425">
        <w:rPr>
          <w:rFonts w:ascii="Arial" w:hAnsi="Arial" w:cs="Arial"/>
          <w:sz w:val="20"/>
          <w:szCs w:val="20"/>
        </w:rPr>
        <w:t xml:space="preserve"> </w:t>
      </w:r>
      <w:r w:rsidR="00CA6F74" w:rsidRPr="0037610B">
        <w:rPr>
          <w:rFonts w:ascii="Arial" w:hAnsi="Arial" w:cs="Arial"/>
          <w:sz w:val="20"/>
          <w:szCs w:val="20"/>
        </w:rPr>
        <w:t xml:space="preserve">were up by 5.8 percent. </w:t>
      </w:r>
      <w:r w:rsidRPr="0037610B">
        <w:rPr>
          <w:rFonts w:ascii="Arial" w:hAnsi="Arial" w:cs="Arial"/>
          <w:sz w:val="20"/>
          <w:szCs w:val="20"/>
        </w:rPr>
        <w:t xml:space="preserve">This </w:t>
      </w:r>
      <w:r w:rsidR="00191936">
        <w:rPr>
          <w:rFonts w:ascii="Arial" w:hAnsi="Arial" w:cs="Arial"/>
          <w:sz w:val="20"/>
          <w:szCs w:val="20"/>
        </w:rPr>
        <w:t xml:space="preserve">result </w:t>
      </w:r>
      <w:r w:rsidRPr="0037610B">
        <w:rPr>
          <w:rFonts w:ascii="Arial" w:hAnsi="Arial" w:cs="Arial"/>
          <w:sz w:val="20"/>
          <w:szCs w:val="20"/>
        </w:rPr>
        <w:t xml:space="preserve">is </w:t>
      </w:r>
      <w:r w:rsidR="00CA6F74" w:rsidRPr="0037610B">
        <w:rPr>
          <w:rFonts w:ascii="Arial" w:hAnsi="Arial" w:cs="Arial"/>
          <w:sz w:val="20"/>
          <w:szCs w:val="20"/>
        </w:rPr>
        <w:t>much</w:t>
      </w:r>
      <w:r w:rsidRPr="0037610B">
        <w:rPr>
          <w:rFonts w:ascii="Arial" w:hAnsi="Arial" w:cs="Arial"/>
          <w:sz w:val="20"/>
          <w:szCs w:val="20"/>
        </w:rPr>
        <w:t xml:space="preserve"> better than analyst</w:t>
      </w:r>
      <w:r w:rsidR="00304B2A">
        <w:rPr>
          <w:rFonts w:ascii="Arial" w:hAnsi="Arial" w:cs="Arial"/>
          <w:sz w:val="20"/>
          <w:szCs w:val="20"/>
        </w:rPr>
        <w:t xml:space="preserve">s’ </w:t>
      </w:r>
      <w:r w:rsidR="00DE57F5">
        <w:rPr>
          <w:rFonts w:ascii="Arial" w:hAnsi="Arial" w:cs="Arial"/>
          <w:sz w:val="20"/>
          <w:szCs w:val="20"/>
        </w:rPr>
        <w:t>initial</w:t>
      </w:r>
      <w:r w:rsidRPr="0037610B">
        <w:rPr>
          <w:rFonts w:ascii="Arial" w:hAnsi="Arial" w:cs="Arial"/>
          <w:sz w:val="20"/>
          <w:szCs w:val="20"/>
        </w:rPr>
        <w:t xml:space="preserve"> </w:t>
      </w:r>
      <w:r w:rsidR="00CA6F74" w:rsidRPr="0037610B">
        <w:rPr>
          <w:rFonts w:ascii="Arial" w:hAnsi="Arial" w:cs="Arial"/>
          <w:sz w:val="20"/>
          <w:szCs w:val="20"/>
        </w:rPr>
        <w:t>expectations for an 8.8 percent drop</w:t>
      </w:r>
      <w:r w:rsidR="00DE57F5">
        <w:rPr>
          <w:rFonts w:ascii="Arial" w:hAnsi="Arial" w:cs="Arial"/>
          <w:sz w:val="20"/>
          <w:szCs w:val="20"/>
        </w:rPr>
        <w:t>. It</w:t>
      </w:r>
      <w:r w:rsidR="00DC7A86" w:rsidRPr="0037610B">
        <w:rPr>
          <w:rFonts w:ascii="Arial" w:hAnsi="Arial" w:cs="Arial"/>
          <w:sz w:val="20"/>
          <w:szCs w:val="20"/>
        </w:rPr>
        <w:t xml:space="preserve"> marks the first quarter with earnings growth since the fourth quarter of 2019. Analysts are currently forecasting continued earnings growth for U</w:t>
      </w:r>
      <w:r w:rsidR="00191936">
        <w:rPr>
          <w:rFonts w:ascii="Arial" w:hAnsi="Arial" w:cs="Arial"/>
          <w:sz w:val="20"/>
          <w:szCs w:val="20"/>
        </w:rPr>
        <w:t>.</w:t>
      </w:r>
      <w:r w:rsidR="00DC7A86" w:rsidRPr="0037610B">
        <w:rPr>
          <w:rFonts w:ascii="Arial" w:hAnsi="Arial" w:cs="Arial"/>
          <w:sz w:val="20"/>
          <w:szCs w:val="20"/>
        </w:rPr>
        <w:t>S</w:t>
      </w:r>
      <w:r w:rsidR="00191936">
        <w:rPr>
          <w:rFonts w:ascii="Arial" w:hAnsi="Arial" w:cs="Arial"/>
          <w:sz w:val="20"/>
          <w:szCs w:val="20"/>
        </w:rPr>
        <w:t>.</w:t>
      </w:r>
      <w:r w:rsidR="00DC7A86" w:rsidRPr="0037610B">
        <w:rPr>
          <w:rFonts w:ascii="Arial" w:hAnsi="Arial" w:cs="Arial"/>
          <w:sz w:val="20"/>
          <w:szCs w:val="20"/>
        </w:rPr>
        <w:t xml:space="preserve"> companies throughout the rest of the year</w:t>
      </w:r>
      <w:r w:rsidR="00304B2A">
        <w:rPr>
          <w:rFonts w:ascii="Arial" w:hAnsi="Arial" w:cs="Arial"/>
          <w:sz w:val="20"/>
          <w:szCs w:val="20"/>
        </w:rPr>
        <w:t>.</w:t>
      </w:r>
      <w:r w:rsidR="00611479" w:rsidRPr="0037610B">
        <w:rPr>
          <w:rFonts w:ascii="Arial" w:hAnsi="Arial" w:cs="Arial"/>
          <w:sz w:val="20"/>
          <w:szCs w:val="20"/>
        </w:rPr>
        <w:t xml:space="preserve"> </w:t>
      </w:r>
    </w:p>
    <w:p w14:paraId="04694FEC" w14:textId="572BC4A9" w:rsidR="00DC7A86" w:rsidRPr="0037610B" w:rsidRDefault="00DC7A86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245C83" w14:textId="30743168" w:rsidR="00DC7A86" w:rsidRPr="0037610B" w:rsidRDefault="00DC7A86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 xml:space="preserve">Technical factors </w:t>
      </w:r>
      <w:r w:rsidR="00191936">
        <w:rPr>
          <w:rFonts w:ascii="Arial" w:hAnsi="Arial" w:cs="Arial"/>
          <w:sz w:val="20"/>
          <w:szCs w:val="20"/>
        </w:rPr>
        <w:t>were also</w:t>
      </w:r>
      <w:r w:rsidRPr="0037610B">
        <w:rPr>
          <w:rFonts w:ascii="Arial" w:hAnsi="Arial" w:cs="Arial"/>
          <w:sz w:val="20"/>
          <w:szCs w:val="20"/>
        </w:rPr>
        <w:t xml:space="preserve"> supportive</w:t>
      </w:r>
      <w:r w:rsidR="00611479" w:rsidRPr="0037610B">
        <w:rPr>
          <w:rFonts w:ascii="Arial" w:hAnsi="Arial" w:cs="Arial"/>
          <w:sz w:val="20"/>
          <w:szCs w:val="20"/>
        </w:rPr>
        <w:t xml:space="preserve"> for markets</w:t>
      </w:r>
      <w:r w:rsidRPr="0037610B">
        <w:rPr>
          <w:rFonts w:ascii="Arial" w:hAnsi="Arial" w:cs="Arial"/>
          <w:sz w:val="20"/>
          <w:szCs w:val="20"/>
        </w:rPr>
        <w:t>. Despite some volatility along the way, all</w:t>
      </w:r>
      <w:r w:rsidR="00D7558B">
        <w:rPr>
          <w:rFonts w:ascii="Arial" w:hAnsi="Arial" w:cs="Arial"/>
          <w:sz w:val="20"/>
          <w:szCs w:val="20"/>
        </w:rPr>
        <w:t xml:space="preserve"> three</w:t>
      </w:r>
      <w:r w:rsidRPr="0037610B">
        <w:rPr>
          <w:rFonts w:ascii="Arial" w:hAnsi="Arial" w:cs="Arial"/>
          <w:sz w:val="20"/>
          <w:szCs w:val="20"/>
        </w:rPr>
        <w:t xml:space="preserve"> major indices remained well above their 200-day moving averages. This marks three straight quarters where </w:t>
      </w:r>
      <w:r w:rsidR="00D7558B">
        <w:rPr>
          <w:rFonts w:ascii="Arial" w:hAnsi="Arial" w:cs="Arial"/>
          <w:sz w:val="20"/>
          <w:szCs w:val="20"/>
        </w:rPr>
        <w:t>the</w:t>
      </w:r>
      <w:r w:rsidRPr="0037610B">
        <w:rPr>
          <w:rFonts w:ascii="Arial" w:hAnsi="Arial" w:cs="Arial"/>
          <w:sz w:val="20"/>
          <w:szCs w:val="20"/>
        </w:rPr>
        <w:t xml:space="preserve"> indice</w:t>
      </w:r>
      <w:r w:rsidR="00D7558B">
        <w:rPr>
          <w:rFonts w:ascii="Arial" w:hAnsi="Arial" w:cs="Arial"/>
          <w:sz w:val="20"/>
          <w:szCs w:val="20"/>
        </w:rPr>
        <w:t>s</w:t>
      </w:r>
      <w:r w:rsidRPr="0037610B">
        <w:rPr>
          <w:rFonts w:ascii="Arial" w:hAnsi="Arial" w:cs="Arial"/>
          <w:sz w:val="20"/>
          <w:szCs w:val="20"/>
        </w:rPr>
        <w:t xml:space="preserve"> finished above their respective trend</w:t>
      </w:r>
      <w:r w:rsidR="00D7558B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>lines. The 200-day moving average is an important technical indicator</w:t>
      </w:r>
      <w:r w:rsidR="00FD7457">
        <w:rPr>
          <w:rFonts w:ascii="Arial" w:hAnsi="Arial" w:cs="Arial"/>
          <w:sz w:val="20"/>
          <w:szCs w:val="20"/>
        </w:rPr>
        <w:t>. P</w:t>
      </w:r>
      <w:r w:rsidRPr="0037610B">
        <w:rPr>
          <w:rFonts w:ascii="Arial" w:hAnsi="Arial" w:cs="Arial"/>
          <w:sz w:val="20"/>
          <w:szCs w:val="20"/>
        </w:rPr>
        <w:t>rolonged breaks above or below this level can signal a shift in investor sentiment for an index.</w:t>
      </w:r>
    </w:p>
    <w:p w14:paraId="7E1CC13A" w14:textId="302DC582" w:rsidR="00F96D6C" w:rsidRPr="0037610B" w:rsidRDefault="00F96D6C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FED461" w14:textId="47CD067B" w:rsidR="00F96D6C" w:rsidRPr="0037610B" w:rsidRDefault="00F96D6C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 xml:space="preserve">International markets had a similar month and quarter, with riskier assets seeing more volatility. The MSCI EAFE </w:t>
      </w:r>
      <w:r w:rsidR="00D7558B">
        <w:rPr>
          <w:rFonts w:ascii="Arial" w:hAnsi="Arial" w:cs="Arial"/>
          <w:sz w:val="20"/>
          <w:szCs w:val="20"/>
        </w:rPr>
        <w:t>I</w:t>
      </w:r>
      <w:r w:rsidRPr="0037610B">
        <w:rPr>
          <w:rFonts w:ascii="Arial" w:hAnsi="Arial" w:cs="Arial"/>
          <w:sz w:val="20"/>
          <w:szCs w:val="20"/>
        </w:rPr>
        <w:t xml:space="preserve">ndex increased by </w:t>
      </w:r>
      <w:r w:rsidR="00611479" w:rsidRPr="0037610B">
        <w:rPr>
          <w:rFonts w:ascii="Arial" w:hAnsi="Arial" w:cs="Arial"/>
          <w:sz w:val="20"/>
          <w:szCs w:val="20"/>
        </w:rPr>
        <w:t xml:space="preserve">2.30 </w:t>
      </w:r>
      <w:r w:rsidRPr="0037610B">
        <w:rPr>
          <w:rFonts w:ascii="Arial" w:hAnsi="Arial" w:cs="Arial"/>
          <w:sz w:val="20"/>
          <w:szCs w:val="20"/>
        </w:rPr>
        <w:t xml:space="preserve">percent during the month and </w:t>
      </w:r>
      <w:r w:rsidR="00611479" w:rsidRPr="0037610B">
        <w:rPr>
          <w:rFonts w:ascii="Arial" w:hAnsi="Arial" w:cs="Arial"/>
          <w:sz w:val="20"/>
          <w:szCs w:val="20"/>
        </w:rPr>
        <w:t xml:space="preserve">3.48 </w:t>
      </w:r>
      <w:r w:rsidRPr="0037610B">
        <w:rPr>
          <w:rFonts w:ascii="Arial" w:hAnsi="Arial" w:cs="Arial"/>
          <w:sz w:val="20"/>
          <w:szCs w:val="20"/>
        </w:rPr>
        <w:t xml:space="preserve">percent during the quarter. The MSCI Emerging Markets </w:t>
      </w:r>
      <w:r w:rsidR="00D7558B">
        <w:rPr>
          <w:rFonts w:ascii="Arial" w:hAnsi="Arial" w:cs="Arial"/>
          <w:sz w:val="20"/>
          <w:szCs w:val="20"/>
        </w:rPr>
        <w:t>I</w:t>
      </w:r>
      <w:r w:rsidRPr="0037610B">
        <w:rPr>
          <w:rFonts w:ascii="Arial" w:hAnsi="Arial" w:cs="Arial"/>
          <w:sz w:val="20"/>
          <w:szCs w:val="20"/>
        </w:rPr>
        <w:t xml:space="preserve">ndex declined by </w:t>
      </w:r>
      <w:r w:rsidR="00611479" w:rsidRPr="0037610B">
        <w:rPr>
          <w:rFonts w:ascii="Arial" w:hAnsi="Arial" w:cs="Arial"/>
          <w:sz w:val="20"/>
          <w:szCs w:val="20"/>
        </w:rPr>
        <w:t xml:space="preserve">1.49 </w:t>
      </w:r>
      <w:r w:rsidRPr="0037610B">
        <w:rPr>
          <w:rFonts w:ascii="Arial" w:hAnsi="Arial" w:cs="Arial"/>
          <w:sz w:val="20"/>
          <w:szCs w:val="20"/>
        </w:rPr>
        <w:t>percent in March</w:t>
      </w:r>
      <w:r w:rsidR="00D7558B">
        <w:rPr>
          <w:rFonts w:ascii="Arial" w:hAnsi="Arial" w:cs="Arial"/>
          <w:sz w:val="20"/>
          <w:szCs w:val="20"/>
        </w:rPr>
        <w:t xml:space="preserve"> but</w:t>
      </w:r>
      <w:r w:rsidRPr="0037610B">
        <w:rPr>
          <w:rFonts w:ascii="Arial" w:hAnsi="Arial" w:cs="Arial"/>
          <w:sz w:val="20"/>
          <w:szCs w:val="20"/>
        </w:rPr>
        <w:t xml:space="preserve"> managed a </w:t>
      </w:r>
      <w:r w:rsidR="00611479" w:rsidRPr="0037610B">
        <w:rPr>
          <w:rFonts w:ascii="Arial" w:hAnsi="Arial" w:cs="Arial"/>
          <w:sz w:val="20"/>
          <w:szCs w:val="20"/>
        </w:rPr>
        <w:t xml:space="preserve">2.34 </w:t>
      </w:r>
      <w:r w:rsidRPr="0037610B">
        <w:rPr>
          <w:rFonts w:ascii="Arial" w:hAnsi="Arial" w:cs="Arial"/>
          <w:sz w:val="20"/>
          <w:szCs w:val="20"/>
        </w:rPr>
        <w:t xml:space="preserve">percent return for the quarter. </w:t>
      </w:r>
      <w:r w:rsidR="00611479" w:rsidRPr="0037610B">
        <w:rPr>
          <w:rFonts w:ascii="Arial" w:hAnsi="Arial" w:cs="Arial"/>
          <w:sz w:val="20"/>
          <w:szCs w:val="20"/>
        </w:rPr>
        <w:t>Both international indices were supported technically during the month and quarter, remain</w:t>
      </w:r>
      <w:r w:rsidR="00D7558B">
        <w:rPr>
          <w:rFonts w:ascii="Arial" w:hAnsi="Arial" w:cs="Arial"/>
          <w:sz w:val="20"/>
          <w:szCs w:val="20"/>
        </w:rPr>
        <w:t>ing</w:t>
      </w:r>
      <w:r w:rsidR="00611479" w:rsidRPr="0037610B">
        <w:rPr>
          <w:rFonts w:ascii="Arial" w:hAnsi="Arial" w:cs="Arial"/>
          <w:sz w:val="20"/>
          <w:szCs w:val="20"/>
        </w:rPr>
        <w:t xml:space="preserve"> well above their respective 200-day moving averages throughout the entire period. </w:t>
      </w:r>
    </w:p>
    <w:p w14:paraId="4E6600DB" w14:textId="3A3BAEB2" w:rsidR="00F96D6C" w:rsidRPr="0037610B" w:rsidRDefault="00F96D6C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9B40A" w14:textId="3D5FEB8D" w:rsidR="00F96D6C" w:rsidRPr="0037610B" w:rsidRDefault="00F96D6C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>Fixed income markets had a more challenging</w:t>
      </w:r>
      <w:r w:rsidR="00DD7610">
        <w:rPr>
          <w:rFonts w:ascii="Arial" w:hAnsi="Arial" w:cs="Arial"/>
          <w:sz w:val="20"/>
          <w:szCs w:val="20"/>
        </w:rPr>
        <w:t xml:space="preserve"> time</w:t>
      </w:r>
      <w:r w:rsidRPr="0037610B">
        <w:rPr>
          <w:rFonts w:ascii="Arial" w:hAnsi="Arial" w:cs="Arial"/>
          <w:sz w:val="20"/>
          <w:szCs w:val="20"/>
        </w:rPr>
        <w:t>, driven by rising long</w:t>
      </w:r>
      <w:r w:rsidR="00D7558B">
        <w:rPr>
          <w:rFonts w:ascii="Arial" w:hAnsi="Arial" w:cs="Arial"/>
          <w:sz w:val="20"/>
          <w:szCs w:val="20"/>
        </w:rPr>
        <w:t>-</w:t>
      </w:r>
      <w:r w:rsidRPr="0037610B">
        <w:rPr>
          <w:rFonts w:ascii="Arial" w:hAnsi="Arial" w:cs="Arial"/>
          <w:sz w:val="20"/>
          <w:szCs w:val="20"/>
        </w:rPr>
        <w:t>term interest rates. The 10</w:t>
      </w:r>
      <w:r w:rsidR="00D7558B">
        <w:rPr>
          <w:rFonts w:ascii="Arial" w:hAnsi="Arial" w:cs="Arial"/>
          <w:sz w:val="20"/>
          <w:szCs w:val="20"/>
        </w:rPr>
        <w:t>-</w:t>
      </w:r>
      <w:r w:rsidR="00806425">
        <w:rPr>
          <w:rFonts w:ascii="Arial" w:hAnsi="Arial" w:cs="Arial"/>
          <w:sz w:val="20"/>
          <w:szCs w:val="20"/>
        </w:rPr>
        <w:t>year</w:t>
      </w:r>
      <w:r w:rsidR="00806425" w:rsidRPr="0037610B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>Treasury yield ended the month at 1.74 percent, up from 1.45</w:t>
      </w:r>
      <w:r w:rsidR="00611479" w:rsidRPr="0037610B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>percent at the start of the month and 0.93 percent at the start of the quarter. Long</w:t>
      </w:r>
      <w:r w:rsidR="00D7558B">
        <w:rPr>
          <w:rFonts w:ascii="Arial" w:hAnsi="Arial" w:cs="Arial"/>
          <w:sz w:val="20"/>
          <w:szCs w:val="20"/>
        </w:rPr>
        <w:t>-</w:t>
      </w:r>
      <w:r w:rsidRPr="0037610B">
        <w:rPr>
          <w:rFonts w:ascii="Arial" w:hAnsi="Arial" w:cs="Arial"/>
          <w:sz w:val="20"/>
          <w:szCs w:val="20"/>
        </w:rPr>
        <w:t>term rates rose throughout the quarter due to increased expectations for growth and inflation as the economic recovery continues. The Bloomberg Barclays U</w:t>
      </w:r>
      <w:r w:rsidR="00D7558B">
        <w:rPr>
          <w:rFonts w:ascii="Arial" w:hAnsi="Arial" w:cs="Arial"/>
          <w:sz w:val="20"/>
          <w:szCs w:val="20"/>
        </w:rPr>
        <w:t>.</w:t>
      </w:r>
      <w:r w:rsidRPr="0037610B">
        <w:rPr>
          <w:rFonts w:ascii="Arial" w:hAnsi="Arial" w:cs="Arial"/>
          <w:sz w:val="20"/>
          <w:szCs w:val="20"/>
        </w:rPr>
        <w:t>S</w:t>
      </w:r>
      <w:r w:rsidR="00D7558B">
        <w:rPr>
          <w:rFonts w:ascii="Arial" w:hAnsi="Arial" w:cs="Arial"/>
          <w:sz w:val="20"/>
          <w:szCs w:val="20"/>
        </w:rPr>
        <w:t>.</w:t>
      </w:r>
      <w:r w:rsidRPr="0037610B">
        <w:rPr>
          <w:rFonts w:ascii="Arial" w:hAnsi="Arial" w:cs="Arial"/>
          <w:sz w:val="20"/>
          <w:szCs w:val="20"/>
        </w:rPr>
        <w:t xml:space="preserve"> Aggregate Bond </w:t>
      </w:r>
      <w:r w:rsidR="00D7558B">
        <w:rPr>
          <w:rFonts w:ascii="Arial" w:hAnsi="Arial" w:cs="Arial"/>
          <w:sz w:val="20"/>
          <w:szCs w:val="20"/>
        </w:rPr>
        <w:t>I</w:t>
      </w:r>
      <w:r w:rsidRPr="0037610B">
        <w:rPr>
          <w:rFonts w:ascii="Arial" w:hAnsi="Arial" w:cs="Arial"/>
          <w:sz w:val="20"/>
          <w:szCs w:val="20"/>
        </w:rPr>
        <w:t xml:space="preserve">ndex fell by 1.25 percent during the month. This </w:t>
      </w:r>
      <w:r w:rsidR="0049148C" w:rsidRPr="0037610B">
        <w:rPr>
          <w:rFonts w:ascii="Arial" w:hAnsi="Arial" w:cs="Arial"/>
          <w:sz w:val="20"/>
          <w:szCs w:val="20"/>
        </w:rPr>
        <w:t xml:space="preserve">contributed to </w:t>
      </w:r>
      <w:r w:rsidR="00D7558B">
        <w:rPr>
          <w:rFonts w:ascii="Arial" w:hAnsi="Arial" w:cs="Arial"/>
          <w:sz w:val="20"/>
          <w:szCs w:val="20"/>
        </w:rPr>
        <w:t>a</w:t>
      </w:r>
      <w:r w:rsidRPr="0037610B">
        <w:rPr>
          <w:rFonts w:ascii="Arial" w:hAnsi="Arial" w:cs="Arial"/>
          <w:sz w:val="20"/>
          <w:szCs w:val="20"/>
        </w:rPr>
        <w:t xml:space="preserve"> 3.37 percent decline </w:t>
      </w:r>
      <w:r w:rsidR="002D3D1E" w:rsidRPr="0037610B">
        <w:rPr>
          <w:rFonts w:ascii="Arial" w:hAnsi="Arial" w:cs="Arial"/>
          <w:sz w:val="20"/>
          <w:szCs w:val="20"/>
        </w:rPr>
        <w:t xml:space="preserve">for the </w:t>
      </w:r>
      <w:r w:rsidR="0049148C" w:rsidRPr="0037610B">
        <w:rPr>
          <w:rFonts w:ascii="Arial" w:hAnsi="Arial" w:cs="Arial"/>
          <w:sz w:val="20"/>
          <w:szCs w:val="20"/>
        </w:rPr>
        <w:t xml:space="preserve">index during the </w:t>
      </w:r>
      <w:r w:rsidR="002D3D1E" w:rsidRPr="0037610B">
        <w:rPr>
          <w:rFonts w:ascii="Arial" w:hAnsi="Arial" w:cs="Arial"/>
          <w:sz w:val="20"/>
          <w:szCs w:val="20"/>
        </w:rPr>
        <w:t xml:space="preserve">quarter. </w:t>
      </w:r>
    </w:p>
    <w:p w14:paraId="7EA18B33" w14:textId="16661ECA" w:rsidR="002D3D1E" w:rsidRPr="0037610B" w:rsidRDefault="002D3D1E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93980" w14:textId="3C2A35D5" w:rsidR="00DC7A86" w:rsidRPr="0037610B" w:rsidRDefault="002D3D1E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>High</w:t>
      </w:r>
      <w:r w:rsidR="00D7558B">
        <w:rPr>
          <w:rFonts w:ascii="Arial" w:hAnsi="Arial" w:cs="Arial"/>
          <w:sz w:val="20"/>
          <w:szCs w:val="20"/>
        </w:rPr>
        <w:t>-</w:t>
      </w:r>
      <w:r w:rsidRPr="0037610B">
        <w:rPr>
          <w:rFonts w:ascii="Arial" w:hAnsi="Arial" w:cs="Arial"/>
          <w:sz w:val="20"/>
          <w:szCs w:val="20"/>
        </w:rPr>
        <w:t>yield fixed income, which is less tied to interest rat</w:t>
      </w:r>
      <w:r w:rsidR="00D7558B">
        <w:rPr>
          <w:rFonts w:ascii="Arial" w:hAnsi="Arial" w:cs="Arial"/>
          <w:sz w:val="20"/>
          <w:szCs w:val="20"/>
        </w:rPr>
        <w:t>e</w:t>
      </w:r>
      <w:r w:rsidRPr="0037610B">
        <w:rPr>
          <w:rFonts w:ascii="Arial" w:hAnsi="Arial" w:cs="Arial"/>
          <w:sz w:val="20"/>
          <w:szCs w:val="20"/>
        </w:rPr>
        <w:t>s and more aligned with equity markets</w:t>
      </w:r>
      <w:r w:rsidR="0049148C" w:rsidRPr="0037610B">
        <w:rPr>
          <w:rFonts w:ascii="Arial" w:hAnsi="Arial" w:cs="Arial"/>
          <w:sz w:val="20"/>
          <w:szCs w:val="20"/>
        </w:rPr>
        <w:t>,</w:t>
      </w:r>
      <w:r w:rsidRPr="0037610B">
        <w:rPr>
          <w:rFonts w:ascii="Arial" w:hAnsi="Arial" w:cs="Arial"/>
          <w:sz w:val="20"/>
          <w:szCs w:val="20"/>
        </w:rPr>
        <w:t xml:space="preserve"> saw </w:t>
      </w:r>
      <w:r w:rsidR="00DD7610">
        <w:rPr>
          <w:rFonts w:ascii="Arial" w:hAnsi="Arial" w:cs="Arial"/>
          <w:sz w:val="20"/>
          <w:szCs w:val="20"/>
        </w:rPr>
        <w:t>more positive results</w:t>
      </w:r>
      <w:r w:rsidRPr="0037610B">
        <w:rPr>
          <w:rFonts w:ascii="Arial" w:hAnsi="Arial" w:cs="Arial"/>
          <w:sz w:val="20"/>
          <w:szCs w:val="20"/>
        </w:rPr>
        <w:t>. The Bloomberg Barclays U</w:t>
      </w:r>
      <w:r w:rsidR="00D7558B">
        <w:rPr>
          <w:rFonts w:ascii="Arial" w:hAnsi="Arial" w:cs="Arial"/>
          <w:sz w:val="20"/>
          <w:szCs w:val="20"/>
        </w:rPr>
        <w:t>.</w:t>
      </w:r>
      <w:r w:rsidRPr="0037610B">
        <w:rPr>
          <w:rFonts w:ascii="Arial" w:hAnsi="Arial" w:cs="Arial"/>
          <w:sz w:val="20"/>
          <w:szCs w:val="20"/>
        </w:rPr>
        <w:t>S</w:t>
      </w:r>
      <w:r w:rsidR="00D7558B">
        <w:rPr>
          <w:rFonts w:ascii="Arial" w:hAnsi="Arial" w:cs="Arial"/>
          <w:sz w:val="20"/>
          <w:szCs w:val="20"/>
        </w:rPr>
        <w:t xml:space="preserve">. </w:t>
      </w:r>
      <w:r w:rsidRPr="0037610B">
        <w:rPr>
          <w:rFonts w:ascii="Arial" w:hAnsi="Arial" w:cs="Arial"/>
          <w:sz w:val="20"/>
          <w:szCs w:val="20"/>
        </w:rPr>
        <w:t xml:space="preserve">Corporate High Yield </w:t>
      </w:r>
      <w:r w:rsidR="00D7558B">
        <w:rPr>
          <w:rFonts w:ascii="Arial" w:hAnsi="Arial" w:cs="Arial"/>
          <w:sz w:val="20"/>
          <w:szCs w:val="20"/>
        </w:rPr>
        <w:t>I</w:t>
      </w:r>
      <w:r w:rsidRPr="0037610B">
        <w:rPr>
          <w:rFonts w:ascii="Arial" w:hAnsi="Arial" w:cs="Arial"/>
          <w:sz w:val="20"/>
          <w:szCs w:val="20"/>
        </w:rPr>
        <w:t xml:space="preserve">ndex gained </w:t>
      </w:r>
      <w:r w:rsidR="0049148C" w:rsidRPr="0037610B">
        <w:rPr>
          <w:rFonts w:ascii="Arial" w:hAnsi="Arial" w:cs="Arial"/>
          <w:sz w:val="20"/>
          <w:szCs w:val="20"/>
        </w:rPr>
        <w:t xml:space="preserve">0.15 </w:t>
      </w:r>
      <w:r w:rsidRPr="0037610B">
        <w:rPr>
          <w:rFonts w:ascii="Arial" w:hAnsi="Arial" w:cs="Arial"/>
          <w:sz w:val="20"/>
          <w:szCs w:val="20"/>
        </w:rPr>
        <w:t xml:space="preserve">percent during the month and </w:t>
      </w:r>
      <w:r w:rsidR="0049148C" w:rsidRPr="0037610B">
        <w:rPr>
          <w:rFonts w:ascii="Arial" w:hAnsi="Arial" w:cs="Arial"/>
          <w:sz w:val="20"/>
          <w:szCs w:val="20"/>
        </w:rPr>
        <w:t xml:space="preserve">0.85 </w:t>
      </w:r>
      <w:r w:rsidRPr="0037610B">
        <w:rPr>
          <w:rFonts w:ascii="Arial" w:hAnsi="Arial" w:cs="Arial"/>
          <w:sz w:val="20"/>
          <w:szCs w:val="20"/>
        </w:rPr>
        <w:t>percent during the quarter. High</w:t>
      </w:r>
      <w:r w:rsidR="00D7558B">
        <w:rPr>
          <w:rFonts w:ascii="Arial" w:hAnsi="Arial" w:cs="Arial"/>
          <w:sz w:val="20"/>
          <w:szCs w:val="20"/>
        </w:rPr>
        <w:t>-</w:t>
      </w:r>
      <w:r w:rsidRPr="0037610B">
        <w:rPr>
          <w:rFonts w:ascii="Arial" w:hAnsi="Arial" w:cs="Arial"/>
          <w:sz w:val="20"/>
          <w:szCs w:val="20"/>
        </w:rPr>
        <w:t>yield spreads continued to compress, end</w:t>
      </w:r>
      <w:r w:rsidR="00D7558B">
        <w:rPr>
          <w:rFonts w:ascii="Arial" w:hAnsi="Arial" w:cs="Arial"/>
          <w:sz w:val="20"/>
          <w:szCs w:val="20"/>
        </w:rPr>
        <w:t>ing</w:t>
      </w:r>
      <w:r w:rsidRPr="0037610B">
        <w:rPr>
          <w:rFonts w:ascii="Arial" w:hAnsi="Arial" w:cs="Arial"/>
          <w:sz w:val="20"/>
          <w:szCs w:val="20"/>
        </w:rPr>
        <w:t xml:space="preserve"> the month at their lowest level since the start of the pandemic</w:t>
      </w:r>
      <w:r w:rsidR="0049148C" w:rsidRPr="0037610B">
        <w:rPr>
          <w:rFonts w:ascii="Arial" w:hAnsi="Arial" w:cs="Arial"/>
          <w:sz w:val="20"/>
          <w:szCs w:val="20"/>
        </w:rPr>
        <w:t>.</w:t>
      </w:r>
    </w:p>
    <w:p w14:paraId="4229B5E2" w14:textId="5533702C" w:rsidR="00DC7A86" w:rsidRPr="0037610B" w:rsidRDefault="00DC7A86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3365B" w14:textId="50DEE6D8" w:rsidR="00DC7A86" w:rsidRPr="0037610B" w:rsidRDefault="00A01A6D" w:rsidP="003761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610B">
        <w:rPr>
          <w:rFonts w:ascii="Arial" w:hAnsi="Arial" w:cs="Arial"/>
          <w:b/>
          <w:bCs/>
          <w:sz w:val="20"/>
          <w:szCs w:val="20"/>
        </w:rPr>
        <w:t>Medical</w:t>
      </w:r>
      <w:r w:rsidR="00DC7A86" w:rsidRPr="0037610B">
        <w:rPr>
          <w:rFonts w:ascii="Arial" w:hAnsi="Arial" w:cs="Arial"/>
          <w:b/>
          <w:bCs/>
          <w:sz w:val="20"/>
          <w:szCs w:val="20"/>
        </w:rPr>
        <w:t xml:space="preserve"> </w:t>
      </w:r>
      <w:r w:rsidR="0037610B" w:rsidRPr="0037610B">
        <w:rPr>
          <w:rFonts w:ascii="Arial" w:hAnsi="Arial" w:cs="Arial"/>
          <w:b/>
          <w:bCs/>
          <w:sz w:val="20"/>
          <w:szCs w:val="20"/>
        </w:rPr>
        <w:t xml:space="preserve">Risks Back </w:t>
      </w:r>
      <w:r w:rsidR="0037610B">
        <w:rPr>
          <w:rFonts w:ascii="Arial" w:hAnsi="Arial" w:cs="Arial"/>
          <w:b/>
          <w:bCs/>
          <w:sz w:val="20"/>
          <w:szCs w:val="20"/>
        </w:rPr>
        <w:t>i</w:t>
      </w:r>
      <w:r w:rsidR="0037610B" w:rsidRPr="0037610B">
        <w:rPr>
          <w:rFonts w:ascii="Arial" w:hAnsi="Arial" w:cs="Arial"/>
          <w:b/>
          <w:bCs/>
          <w:sz w:val="20"/>
          <w:szCs w:val="20"/>
        </w:rPr>
        <w:t>n Play</w:t>
      </w:r>
    </w:p>
    <w:p w14:paraId="7B5615A8" w14:textId="76B6775F" w:rsidR="00A7641E" w:rsidRPr="0037610B" w:rsidRDefault="00231228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saw the end of the pandemic’s third wave during the </w:t>
      </w:r>
      <w:r w:rsidR="00CA6F74" w:rsidRPr="0037610B">
        <w:rPr>
          <w:rFonts w:ascii="Arial" w:hAnsi="Arial" w:cs="Arial"/>
          <w:sz w:val="20"/>
          <w:szCs w:val="20"/>
        </w:rPr>
        <w:t xml:space="preserve">first quarter </w:t>
      </w:r>
      <w:r w:rsidR="00251E1B">
        <w:rPr>
          <w:rFonts w:ascii="Arial" w:hAnsi="Arial" w:cs="Arial"/>
          <w:sz w:val="20"/>
          <w:szCs w:val="20"/>
        </w:rPr>
        <w:t>of the year</w:t>
      </w:r>
      <w:r w:rsidR="00CA6F74" w:rsidRPr="0037610B">
        <w:rPr>
          <w:rFonts w:ascii="Arial" w:hAnsi="Arial" w:cs="Arial"/>
          <w:sz w:val="20"/>
          <w:szCs w:val="20"/>
        </w:rPr>
        <w:t>,</w:t>
      </w:r>
      <w:r w:rsidR="00251E1B">
        <w:rPr>
          <w:rFonts w:ascii="Arial" w:hAnsi="Arial" w:cs="Arial"/>
          <w:sz w:val="20"/>
          <w:szCs w:val="20"/>
        </w:rPr>
        <w:t xml:space="preserve"> but</w:t>
      </w:r>
      <w:r w:rsidR="00CA6F74" w:rsidRPr="0037610B">
        <w:rPr>
          <w:rFonts w:ascii="Arial" w:hAnsi="Arial" w:cs="Arial"/>
          <w:sz w:val="20"/>
          <w:szCs w:val="20"/>
        </w:rPr>
        <w:t xml:space="preserve"> case counts star</w:t>
      </w:r>
      <w:r>
        <w:rPr>
          <w:rFonts w:ascii="Arial" w:hAnsi="Arial" w:cs="Arial"/>
          <w:sz w:val="20"/>
          <w:szCs w:val="20"/>
        </w:rPr>
        <w:t xml:space="preserve">ted </w:t>
      </w:r>
      <w:r w:rsidR="00CA6F74" w:rsidRPr="0037610B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creep</w:t>
      </w:r>
      <w:r w:rsidR="00CA6F74" w:rsidRPr="0037610B">
        <w:rPr>
          <w:rFonts w:ascii="Arial" w:hAnsi="Arial" w:cs="Arial"/>
          <w:sz w:val="20"/>
          <w:szCs w:val="20"/>
        </w:rPr>
        <w:t xml:space="preserve"> up</w:t>
      </w:r>
      <w:r>
        <w:rPr>
          <w:rFonts w:ascii="Arial" w:hAnsi="Arial" w:cs="Arial"/>
          <w:sz w:val="20"/>
          <w:szCs w:val="20"/>
        </w:rPr>
        <w:t xml:space="preserve"> in March</w:t>
      </w:r>
      <w:r w:rsidR="00A01A6D" w:rsidRPr="0037610B">
        <w:rPr>
          <w:rFonts w:ascii="Arial" w:hAnsi="Arial" w:cs="Arial"/>
          <w:sz w:val="20"/>
          <w:szCs w:val="20"/>
        </w:rPr>
        <w:t>.</w:t>
      </w:r>
      <w:r w:rsidR="00D7558B">
        <w:rPr>
          <w:rFonts w:ascii="Arial" w:hAnsi="Arial" w:cs="Arial"/>
          <w:sz w:val="20"/>
          <w:szCs w:val="20"/>
        </w:rPr>
        <w:t xml:space="preserve"> </w:t>
      </w:r>
      <w:r w:rsidR="00251E1B">
        <w:rPr>
          <w:rFonts w:ascii="Arial" w:hAnsi="Arial" w:cs="Arial"/>
          <w:sz w:val="20"/>
          <w:szCs w:val="20"/>
        </w:rPr>
        <w:t xml:space="preserve">Although </w:t>
      </w:r>
      <w:r w:rsidR="00CA6F74" w:rsidRPr="0037610B">
        <w:rPr>
          <w:rFonts w:ascii="Arial" w:hAnsi="Arial" w:cs="Arial"/>
          <w:sz w:val="20"/>
          <w:szCs w:val="20"/>
        </w:rPr>
        <w:t>case growth is lower than</w:t>
      </w:r>
      <w:r w:rsidR="00251E1B">
        <w:rPr>
          <w:rFonts w:ascii="Arial" w:hAnsi="Arial" w:cs="Arial"/>
          <w:sz w:val="20"/>
          <w:szCs w:val="20"/>
        </w:rPr>
        <w:t xml:space="preserve"> it was</w:t>
      </w:r>
      <w:r w:rsidR="00CA6F74" w:rsidRPr="0037610B">
        <w:rPr>
          <w:rFonts w:ascii="Arial" w:hAnsi="Arial" w:cs="Arial"/>
          <w:sz w:val="20"/>
          <w:szCs w:val="20"/>
        </w:rPr>
        <w:t xml:space="preserve"> </w:t>
      </w:r>
      <w:r w:rsidR="00F053DC">
        <w:rPr>
          <w:rFonts w:ascii="Arial" w:hAnsi="Arial" w:cs="Arial"/>
          <w:sz w:val="20"/>
          <w:szCs w:val="20"/>
        </w:rPr>
        <w:t>during</w:t>
      </w:r>
      <w:r w:rsidR="00CA6F74" w:rsidRPr="0037610B">
        <w:rPr>
          <w:rFonts w:ascii="Arial" w:hAnsi="Arial" w:cs="Arial"/>
          <w:sz w:val="20"/>
          <w:szCs w:val="20"/>
        </w:rPr>
        <w:t xml:space="preserve"> the past </w:t>
      </w:r>
      <w:r w:rsidR="00F053DC">
        <w:rPr>
          <w:rFonts w:ascii="Arial" w:hAnsi="Arial" w:cs="Arial"/>
          <w:sz w:val="20"/>
          <w:szCs w:val="20"/>
        </w:rPr>
        <w:t>few</w:t>
      </w:r>
      <w:r w:rsidR="00CA6F74" w:rsidRPr="0037610B">
        <w:rPr>
          <w:rFonts w:ascii="Arial" w:hAnsi="Arial" w:cs="Arial"/>
          <w:sz w:val="20"/>
          <w:szCs w:val="20"/>
        </w:rPr>
        <w:t xml:space="preserve"> months and vaccinations are likely to constrain further growth, </w:t>
      </w:r>
      <w:r w:rsidR="00F053DC">
        <w:rPr>
          <w:rFonts w:ascii="Arial" w:hAnsi="Arial" w:cs="Arial"/>
          <w:sz w:val="20"/>
          <w:szCs w:val="20"/>
        </w:rPr>
        <w:t>the</w:t>
      </w:r>
      <w:r w:rsidR="00CA6F74" w:rsidRPr="0037610B">
        <w:rPr>
          <w:rFonts w:ascii="Arial" w:hAnsi="Arial" w:cs="Arial"/>
          <w:sz w:val="20"/>
          <w:szCs w:val="20"/>
        </w:rPr>
        <w:t xml:space="preserve"> combination of </w:t>
      </w:r>
      <w:r w:rsidR="006F506F">
        <w:rPr>
          <w:rFonts w:ascii="Arial" w:hAnsi="Arial" w:cs="Arial"/>
          <w:sz w:val="20"/>
          <w:szCs w:val="20"/>
        </w:rPr>
        <w:t xml:space="preserve">the </w:t>
      </w:r>
      <w:r w:rsidR="00CA6F74" w:rsidRPr="0037610B">
        <w:rPr>
          <w:rFonts w:ascii="Arial" w:hAnsi="Arial" w:cs="Arial"/>
          <w:sz w:val="20"/>
          <w:szCs w:val="20"/>
        </w:rPr>
        <w:t>econom</w:t>
      </w:r>
      <w:r w:rsidR="006F506F">
        <w:rPr>
          <w:rFonts w:ascii="Arial" w:hAnsi="Arial" w:cs="Arial"/>
          <w:sz w:val="20"/>
          <w:szCs w:val="20"/>
        </w:rPr>
        <w:t xml:space="preserve">y </w:t>
      </w:r>
      <w:r w:rsidR="00CA6F74" w:rsidRPr="0037610B">
        <w:rPr>
          <w:rFonts w:ascii="Arial" w:hAnsi="Arial" w:cs="Arial"/>
          <w:sz w:val="20"/>
          <w:szCs w:val="20"/>
        </w:rPr>
        <w:t xml:space="preserve">reopening and </w:t>
      </w:r>
      <w:r w:rsidR="00F053DC">
        <w:rPr>
          <w:rFonts w:ascii="Arial" w:hAnsi="Arial" w:cs="Arial"/>
          <w:sz w:val="20"/>
          <w:szCs w:val="20"/>
        </w:rPr>
        <w:t xml:space="preserve">the </w:t>
      </w:r>
      <w:r w:rsidR="00CA6F74" w:rsidRPr="0037610B">
        <w:rPr>
          <w:rFonts w:ascii="Arial" w:hAnsi="Arial" w:cs="Arial"/>
          <w:sz w:val="20"/>
          <w:szCs w:val="20"/>
        </w:rPr>
        <w:t xml:space="preserve">spread of more contagious variants of the virus has </w:t>
      </w:r>
      <w:r w:rsidR="00F053DC">
        <w:rPr>
          <w:rFonts w:ascii="Arial" w:hAnsi="Arial" w:cs="Arial"/>
          <w:sz w:val="20"/>
          <w:szCs w:val="20"/>
        </w:rPr>
        <w:t>increased</w:t>
      </w:r>
      <w:r w:rsidR="00CA6F74" w:rsidRPr="0037610B">
        <w:rPr>
          <w:rFonts w:ascii="Arial" w:hAnsi="Arial" w:cs="Arial"/>
          <w:sz w:val="20"/>
          <w:szCs w:val="20"/>
        </w:rPr>
        <w:t xml:space="preserve"> risks again.</w:t>
      </w:r>
      <w:r w:rsidR="00D7558B">
        <w:rPr>
          <w:rFonts w:ascii="Arial" w:hAnsi="Arial" w:cs="Arial"/>
          <w:sz w:val="20"/>
          <w:szCs w:val="20"/>
        </w:rPr>
        <w:t xml:space="preserve"> </w:t>
      </w:r>
      <w:r w:rsidR="00A7641E" w:rsidRPr="0037610B">
        <w:rPr>
          <w:rFonts w:ascii="Arial" w:hAnsi="Arial" w:cs="Arial"/>
          <w:sz w:val="20"/>
          <w:szCs w:val="20"/>
        </w:rPr>
        <w:t xml:space="preserve">Testing </w:t>
      </w:r>
      <w:r w:rsidR="00CA6F74" w:rsidRPr="0037610B">
        <w:rPr>
          <w:rFonts w:ascii="Arial" w:hAnsi="Arial" w:cs="Arial"/>
          <w:sz w:val="20"/>
          <w:szCs w:val="20"/>
        </w:rPr>
        <w:t>also raised concerns</w:t>
      </w:r>
      <w:r w:rsidR="00FD7457">
        <w:rPr>
          <w:rFonts w:ascii="Arial" w:hAnsi="Arial" w:cs="Arial"/>
          <w:sz w:val="20"/>
          <w:szCs w:val="20"/>
        </w:rPr>
        <w:t>. T</w:t>
      </w:r>
      <w:r w:rsidR="00CA6F74" w:rsidRPr="0037610B">
        <w:rPr>
          <w:rFonts w:ascii="Arial" w:hAnsi="Arial" w:cs="Arial"/>
          <w:sz w:val="20"/>
          <w:szCs w:val="20"/>
        </w:rPr>
        <w:t xml:space="preserve">he number of tests </w:t>
      </w:r>
      <w:proofErr w:type="gramStart"/>
      <w:r w:rsidR="00CA6F74" w:rsidRPr="0037610B">
        <w:rPr>
          <w:rFonts w:ascii="Arial" w:hAnsi="Arial" w:cs="Arial"/>
          <w:sz w:val="20"/>
          <w:szCs w:val="20"/>
        </w:rPr>
        <w:t>fell</w:t>
      </w:r>
      <w:proofErr w:type="gramEnd"/>
      <w:r w:rsidR="00CA6F74" w:rsidRPr="0037610B">
        <w:rPr>
          <w:rFonts w:ascii="Arial" w:hAnsi="Arial" w:cs="Arial"/>
          <w:sz w:val="20"/>
          <w:szCs w:val="20"/>
        </w:rPr>
        <w:t xml:space="preserve"> and the positive test rate increased</w:t>
      </w:r>
      <w:r w:rsidR="00F053DC">
        <w:rPr>
          <w:rFonts w:ascii="Arial" w:hAnsi="Arial" w:cs="Arial"/>
          <w:sz w:val="20"/>
          <w:szCs w:val="20"/>
        </w:rPr>
        <w:t>, which</w:t>
      </w:r>
      <w:r w:rsidR="00CA7B68" w:rsidRPr="0037610B">
        <w:rPr>
          <w:rFonts w:ascii="Arial" w:hAnsi="Arial" w:cs="Arial"/>
          <w:sz w:val="20"/>
          <w:szCs w:val="20"/>
        </w:rPr>
        <w:t xml:space="preserve"> indicates we have less visibility </w:t>
      </w:r>
      <w:r w:rsidR="00F053DC">
        <w:rPr>
          <w:rFonts w:ascii="Arial" w:hAnsi="Arial" w:cs="Arial"/>
          <w:sz w:val="20"/>
          <w:szCs w:val="20"/>
        </w:rPr>
        <w:t>into</w:t>
      </w:r>
      <w:r w:rsidR="00CA7B68" w:rsidRPr="0037610B">
        <w:rPr>
          <w:rFonts w:ascii="Arial" w:hAnsi="Arial" w:cs="Arial"/>
          <w:sz w:val="20"/>
          <w:szCs w:val="20"/>
        </w:rPr>
        <w:t xml:space="preserve"> the current spread of</w:t>
      </w:r>
      <w:r w:rsidR="00F053DC">
        <w:rPr>
          <w:rFonts w:ascii="Arial" w:hAnsi="Arial" w:cs="Arial"/>
          <w:sz w:val="20"/>
          <w:szCs w:val="20"/>
        </w:rPr>
        <w:t xml:space="preserve"> COVID-19</w:t>
      </w:r>
      <w:r w:rsidR="00CA7B68" w:rsidRPr="0037610B">
        <w:rPr>
          <w:rFonts w:ascii="Arial" w:hAnsi="Arial" w:cs="Arial"/>
          <w:sz w:val="20"/>
          <w:szCs w:val="20"/>
        </w:rPr>
        <w:t xml:space="preserve">. </w:t>
      </w:r>
    </w:p>
    <w:p w14:paraId="43FFBB40" w14:textId="44BF4C15" w:rsidR="00CA7B68" w:rsidRPr="0037610B" w:rsidRDefault="00CA7B68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D6A68E" w14:textId="755FE48E" w:rsidR="00CA7B68" w:rsidRPr="0037610B" w:rsidRDefault="00CA7B68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 xml:space="preserve">Despite the rise in </w:t>
      </w:r>
      <w:r w:rsidR="006D16C3" w:rsidRPr="0037610B">
        <w:rPr>
          <w:rFonts w:ascii="Arial" w:hAnsi="Arial" w:cs="Arial"/>
          <w:sz w:val="20"/>
          <w:szCs w:val="20"/>
        </w:rPr>
        <w:t>short</w:t>
      </w:r>
      <w:r w:rsidR="00F053DC">
        <w:rPr>
          <w:rFonts w:ascii="Arial" w:hAnsi="Arial" w:cs="Arial"/>
          <w:sz w:val="20"/>
          <w:szCs w:val="20"/>
        </w:rPr>
        <w:t>-</w:t>
      </w:r>
      <w:r w:rsidR="006D16C3" w:rsidRPr="0037610B">
        <w:rPr>
          <w:rFonts w:ascii="Arial" w:hAnsi="Arial" w:cs="Arial"/>
          <w:sz w:val="20"/>
          <w:szCs w:val="20"/>
        </w:rPr>
        <w:t>term risk</w:t>
      </w:r>
      <w:r w:rsidR="00F053DC">
        <w:rPr>
          <w:rFonts w:ascii="Arial" w:hAnsi="Arial" w:cs="Arial"/>
          <w:sz w:val="20"/>
          <w:szCs w:val="20"/>
        </w:rPr>
        <w:t>s</w:t>
      </w:r>
      <w:r w:rsidR="006D16C3" w:rsidRPr="0037610B">
        <w:rPr>
          <w:rFonts w:ascii="Arial" w:hAnsi="Arial" w:cs="Arial"/>
          <w:sz w:val="20"/>
          <w:szCs w:val="20"/>
        </w:rPr>
        <w:t>, longer</w:t>
      </w:r>
      <w:r w:rsidR="00F053DC">
        <w:rPr>
          <w:rFonts w:ascii="Arial" w:hAnsi="Arial" w:cs="Arial"/>
          <w:sz w:val="20"/>
          <w:szCs w:val="20"/>
        </w:rPr>
        <w:t>-</w:t>
      </w:r>
      <w:r w:rsidR="006D16C3" w:rsidRPr="0037610B">
        <w:rPr>
          <w:rFonts w:ascii="Arial" w:hAnsi="Arial" w:cs="Arial"/>
          <w:sz w:val="20"/>
          <w:szCs w:val="20"/>
        </w:rPr>
        <w:t>term risks remain constrained</w:t>
      </w:r>
      <w:r w:rsidR="00F053DC">
        <w:rPr>
          <w:rFonts w:ascii="Arial" w:hAnsi="Arial" w:cs="Arial"/>
          <w:sz w:val="20"/>
          <w:szCs w:val="20"/>
        </w:rPr>
        <w:t xml:space="preserve"> with</w:t>
      </w:r>
      <w:r w:rsidRPr="0037610B">
        <w:rPr>
          <w:rFonts w:ascii="Arial" w:hAnsi="Arial" w:cs="Arial"/>
          <w:sz w:val="20"/>
          <w:szCs w:val="20"/>
        </w:rPr>
        <w:t xml:space="preserve"> vaccination efforts </w:t>
      </w:r>
      <w:r w:rsidR="00FD7457">
        <w:rPr>
          <w:rFonts w:ascii="Arial" w:hAnsi="Arial" w:cs="Arial"/>
          <w:sz w:val="20"/>
          <w:szCs w:val="20"/>
        </w:rPr>
        <w:t>improving</w:t>
      </w:r>
      <w:r w:rsidRPr="0037610B">
        <w:rPr>
          <w:rFonts w:ascii="Arial" w:hAnsi="Arial" w:cs="Arial"/>
          <w:sz w:val="20"/>
          <w:szCs w:val="20"/>
        </w:rPr>
        <w:t xml:space="preserve"> in March. We finished the month with 16 percent of the population fully vaccinated and an impressive 29 percent of the population having received at least one dose. </w:t>
      </w:r>
      <w:r w:rsidR="00FD7457">
        <w:rPr>
          <w:rFonts w:ascii="Arial" w:hAnsi="Arial" w:cs="Arial"/>
          <w:sz w:val="20"/>
          <w:szCs w:val="20"/>
        </w:rPr>
        <w:t>Th</w:t>
      </w:r>
      <w:r w:rsidR="0046771A">
        <w:rPr>
          <w:rFonts w:ascii="Arial" w:hAnsi="Arial" w:cs="Arial"/>
          <w:sz w:val="20"/>
          <w:szCs w:val="20"/>
        </w:rPr>
        <w:t>e</w:t>
      </w:r>
      <w:r w:rsidR="0077713F" w:rsidRPr="0037610B">
        <w:rPr>
          <w:rFonts w:ascii="Arial" w:hAnsi="Arial" w:cs="Arial"/>
          <w:sz w:val="20"/>
          <w:szCs w:val="20"/>
        </w:rPr>
        <w:t xml:space="preserve"> average number of daily vaccinations increase</w:t>
      </w:r>
      <w:r w:rsidR="00FD7457">
        <w:rPr>
          <w:rFonts w:ascii="Arial" w:hAnsi="Arial" w:cs="Arial"/>
          <w:sz w:val="20"/>
          <w:szCs w:val="20"/>
        </w:rPr>
        <w:t>d</w:t>
      </w:r>
      <w:r w:rsidR="0077713F" w:rsidRPr="0037610B">
        <w:rPr>
          <w:rFonts w:ascii="Arial" w:hAnsi="Arial" w:cs="Arial"/>
          <w:sz w:val="20"/>
          <w:szCs w:val="20"/>
        </w:rPr>
        <w:t xml:space="preserve"> notably throughout the month</w:t>
      </w:r>
      <w:r w:rsidR="0046771A">
        <w:rPr>
          <w:rFonts w:ascii="Arial" w:hAnsi="Arial" w:cs="Arial"/>
          <w:sz w:val="20"/>
          <w:szCs w:val="20"/>
        </w:rPr>
        <w:t>. This was due to greater</w:t>
      </w:r>
      <w:r w:rsidR="0077713F" w:rsidRPr="0037610B">
        <w:rPr>
          <w:rFonts w:ascii="Arial" w:hAnsi="Arial" w:cs="Arial"/>
          <w:sz w:val="20"/>
          <w:szCs w:val="20"/>
        </w:rPr>
        <w:t xml:space="preserve"> supply and improved processes at the state and local level</w:t>
      </w:r>
      <w:r w:rsidR="00F053DC">
        <w:rPr>
          <w:rFonts w:ascii="Arial" w:hAnsi="Arial" w:cs="Arial"/>
          <w:sz w:val="20"/>
          <w:szCs w:val="20"/>
        </w:rPr>
        <w:t>s</w:t>
      </w:r>
      <w:r w:rsidR="0077713F" w:rsidRPr="0037610B">
        <w:rPr>
          <w:rFonts w:ascii="Arial" w:hAnsi="Arial" w:cs="Arial"/>
          <w:sz w:val="20"/>
          <w:szCs w:val="20"/>
        </w:rPr>
        <w:t>.</w:t>
      </w:r>
      <w:r w:rsidR="00F053D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7713F" w:rsidRPr="0037610B">
        <w:rPr>
          <w:rFonts w:ascii="Arial" w:hAnsi="Arial" w:cs="Arial"/>
          <w:sz w:val="20"/>
          <w:szCs w:val="20"/>
        </w:rPr>
        <w:t>Looking forward</w:t>
      </w:r>
      <w:r w:rsidR="00F053DC">
        <w:rPr>
          <w:rFonts w:ascii="Arial" w:hAnsi="Arial" w:cs="Arial"/>
          <w:sz w:val="20"/>
          <w:szCs w:val="20"/>
        </w:rPr>
        <w:t>,</w:t>
      </w:r>
      <w:r w:rsidR="006D16C3" w:rsidRPr="0037610B">
        <w:rPr>
          <w:rFonts w:ascii="Arial" w:hAnsi="Arial" w:cs="Arial"/>
          <w:sz w:val="20"/>
          <w:szCs w:val="20"/>
        </w:rPr>
        <w:t xml:space="preserve"> vaccinations</w:t>
      </w:r>
      <w:proofErr w:type="gramEnd"/>
      <w:r w:rsidR="00F053DC">
        <w:rPr>
          <w:rFonts w:ascii="Arial" w:hAnsi="Arial" w:cs="Arial"/>
          <w:sz w:val="20"/>
          <w:szCs w:val="20"/>
        </w:rPr>
        <w:t xml:space="preserve"> are</w:t>
      </w:r>
      <w:r w:rsidR="006D16C3" w:rsidRPr="0037610B">
        <w:rPr>
          <w:rFonts w:ascii="Arial" w:hAnsi="Arial" w:cs="Arial"/>
          <w:sz w:val="20"/>
          <w:szCs w:val="20"/>
        </w:rPr>
        <w:t xml:space="preserve"> expected to bring the virus largely under control over the next several months.</w:t>
      </w:r>
      <w:r w:rsidR="00D7558B">
        <w:rPr>
          <w:rFonts w:ascii="Arial" w:hAnsi="Arial" w:cs="Arial"/>
          <w:sz w:val="20"/>
          <w:szCs w:val="20"/>
        </w:rPr>
        <w:t xml:space="preserve"> </w:t>
      </w:r>
      <w:r w:rsidR="0077713F" w:rsidRPr="0037610B">
        <w:rPr>
          <w:rFonts w:ascii="Arial" w:hAnsi="Arial" w:cs="Arial"/>
          <w:sz w:val="20"/>
          <w:szCs w:val="20"/>
        </w:rPr>
        <w:t xml:space="preserve">While we are not yet out of the woods </w:t>
      </w:r>
      <w:r w:rsidR="006D16C3" w:rsidRPr="0037610B">
        <w:rPr>
          <w:rFonts w:ascii="Arial" w:hAnsi="Arial" w:cs="Arial"/>
          <w:sz w:val="20"/>
          <w:szCs w:val="20"/>
        </w:rPr>
        <w:t>yet</w:t>
      </w:r>
      <w:r w:rsidR="00F053DC">
        <w:rPr>
          <w:rFonts w:ascii="Arial" w:hAnsi="Arial" w:cs="Arial"/>
          <w:sz w:val="20"/>
          <w:szCs w:val="20"/>
        </w:rPr>
        <w:t>—</w:t>
      </w:r>
      <w:r w:rsidR="006D16C3" w:rsidRPr="0037610B">
        <w:rPr>
          <w:rFonts w:ascii="Arial" w:hAnsi="Arial" w:cs="Arial"/>
          <w:sz w:val="20"/>
          <w:szCs w:val="20"/>
        </w:rPr>
        <w:t>and people need to remain cautious until we get there</w:t>
      </w:r>
      <w:r w:rsidR="00F053DC">
        <w:rPr>
          <w:rFonts w:ascii="Arial" w:hAnsi="Arial" w:cs="Arial"/>
          <w:sz w:val="20"/>
          <w:szCs w:val="20"/>
        </w:rPr>
        <w:t>—</w:t>
      </w:r>
      <w:r w:rsidR="006D16C3" w:rsidRPr="0037610B">
        <w:rPr>
          <w:rFonts w:ascii="Arial" w:hAnsi="Arial" w:cs="Arial"/>
          <w:sz w:val="20"/>
          <w:szCs w:val="20"/>
        </w:rPr>
        <w:t>we are moving in the right direction.</w:t>
      </w:r>
      <w:r w:rsidR="00D7558B">
        <w:rPr>
          <w:rFonts w:ascii="Arial" w:hAnsi="Arial" w:cs="Arial"/>
          <w:sz w:val="20"/>
          <w:szCs w:val="20"/>
        </w:rPr>
        <w:t xml:space="preserve"> </w:t>
      </w:r>
    </w:p>
    <w:p w14:paraId="02362371" w14:textId="71FA60F1" w:rsidR="0077713F" w:rsidRPr="0037610B" w:rsidRDefault="0077713F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65F4EA" w14:textId="7BF3CC9A" w:rsidR="0077713F" w:rsidRPr="0037610B" w:rsidRDefault="0077713F" w:rsidP="003761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610B">
        <w:rPr>
          <w:rFonts w:ascii="Arial" w:hAnsi="Arial" w:cs="Arial"/>
          <w:b/>
          <w:bCs/>
          <w:sz w:val="20"/>
          <w:szCs w:val="20"/>
        </w:rPr>
        <w:lastRenderedPageBreak/>
        <w:t>Econom</w:t>
      </w:r>
      <w:r w:rsidR="004B1553">
        <w:rPr>
          <w:rFonts w:ascii="Arial" w:hAnsi="Arial" w:cs="Arial"/>
          <w:b/>
          <w:bCs/>
          <w:sz w:val="20"/>
          <w:szCs w:val="20"/>
        </w:rPr>
        <w:t>ic</w:t>
      </w:r>
      <w:r w:rsidR="006D16C3" w:rsidRPr="0037610B">
        <w:rPr>
          <w:rFonts w:ascii="Arial" w:hAnsi="Arial" w:cs="Arial"/>
          <w:b/>
          <w:bCs/>
          <w:sz w:val="20"/>
          <w:szCs w:val="20"/>
        </w:rPr>
        <w:t xml:space="preserve"> </w:t>
      </w:r>
      <w:r w:rsidR="004B1553">
        <w:rPr>
          <w:rFonts w:ascii="Arial" w:hAnsi="Arial" w:cs="Arial"/>
          <w:b/>
          <w:bCs/>
          <w:sz w:val="20"/>
          <w:szCs w:val="20"/>
        </w:rPr>
        <w:t>Improvement Continues</w:t>
      </w:r>
    </w:p>
    <w:p w14:paraId="08363288" w14:textId="48928167" w:rsidR="00A01A6D" w:rsidRPr="0037610B" w:rsidRDefault="0077713F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 xml:space="preserve">Despite the rise in medical risks during the month, the economic data continued to </w:t>
      </w:r>
      <w:r w:rsidR="0046771A">
        <w:rPr>
          <w:rFonts w:ascii="Arial" w:hAnsi="Arial" w:cs="Arial"/>
          <w:sz w:val="20"/>
          <w:szCs w:val="20"/>
        </w:rPr>
        <w:t>improve</w:t>
      </w:r>
      <w:r w:rsidR="006D16C3" w:rsidRPr="0037610B">
        <w:rPr>
          <w:rFonts w:ascii="Arial" w:hAnsi="Arial" w:cs="Arial"/>
          <w:sz w:val="20"/>
          <w:szCs w:val="20"/>
        </w:rPr>
        <w:t>.</w:t>
      </w:r>
      <w:r w:rsidR="00D7558B">
        <w:rPr>
          <w:rFonts w:ascii="Arial" w:hAnsi="Arial" w:cs="Arial"/>
          <w:sz w:val="20"/>
          <w:szCs w:val="20"/>
        </w:rPr>
        <w:t xml:space="preserve"> </w:t>
      </w:r>
      <w:r w:rsidR="006D16C3" w:rsidRPr="0037610B">
        <w:rPr>
          <w:rFonts w:ascii="Arial" w:hAnsi="Arial" w:cs="Arial"/>
          <w:sz w:val="20"/>
          <w:szCs w:val="20"/>
        </w:rPr>
        <w:t>March</w:t>
      </w:r>
      <w:r w:rsidR="00F46847" w:rsidRPr="0037610B">
        <w:rPr>
          <w:rFonts w:ascii="Arial" w:hAnsi="Arial" w:cs="Arial"/>
          <w:sz w:val="20"/>
          <w:szCs w:val="20"/>
        </w:rPr>
        <w:t>’s job</w:t>
      </w:r>
      <w:r w:rsidR="00495901">
        <w:rPr>
          <w:rFonts w:ascii="Arial" w:hAnsi="Arial" w:cs="Arial"/>
          <w:sz w:val="20"/>
          <w:szCs w:val="20"/>
        </w:rPr>
        <w:t>s</w:t>
      </w:r>
      <w:r w:rsidR="00F46847" w:rsidRPr="0037610B">
        <w:rPr>
          <w:rFonts w:ascii="Arial" w:hAnsi="Arial" w:cs="Arial"/>
          <w:sz w:val="20"/>
          <w:szCs w:val="20"/>
        </w:rPr>
        <w:t xml:space="preserve"> report showed that </w:t>
      </w:r>
      <w:r w:rsidR="006D16C3" w:rsidRPr="0037610B">
        <w:rPr>
          <w:rFonts w:ascii="Arial" w:hAnsi="Arial" w:cs="Arial"/>
          <w:sz w:val="20"/>
          <w:szCs w:val="20"/>
        </w:rPr>
        <w:t>916</w:t>
      </w:r>
      <w:r w:rsidR="00F46847" w:rsidRPr="0037610B">
        <w:rPr>
          <w:rFonts w:ascii="Arial" w:hAnsi="Arial" w:cs="Arial"/>
          <w:sz w:val="20"/>
          <w:szCs w:val="20"/>
        </w:rPr>
        <w:t xml:space="preserve">,000 jobs were added during the month, </w:t>
      </w:r>
      <w:r w:rsidR="006D16C3" w:rsidRPr="0037610B">
        <w:rPr>
          <w:rFonts w:ascii="Arial" w:hAnsi="Arial" w:cs="Arial"/>
          <w:sz w:val="20"/>
          <w:szCs w:val="20"/>
        </w:rPr>
        <w:t>up sharply from Februar</w:t>
      </w:r>
      <w:r w:rsidR="006948F0">
        <w:rPr>
          <w:rFonts w:ascii="Arial" w:hAnsi="Arial" w:cs="Arial"/>
          <w:sz w:val="20"/>
          <w:szCs w:val="20"/>
        </w:rPr>
        <w:t>y’s</w:t>
      </w:r>
      <w:r w:rsidR="006D16C3" w:rsidRPr="0037610B">
        <w:rPr>
          <w:rFonts w:ascii="Arial" w:hAnsi="Arial" w:cs="Arial"/>
          <w:sz w:val="20"/>
          <w:szCs w:val="20"/>
        </w:rPr>
        <w:t xml:space="preserve"> 379,000 and well above expectations. </w:t>
      </w:r>
      <w:r w:rsidR="0046771A">
        <w:rPr>
          <w:rFonts w:ascii="Arial" w:hAnsi="Arial" w:cs="Arial"/>
          <w:sz w:val="20"/>
          <w:szCs w:val="20"/>
        </w:rPr>
        <w:t>Much of the j</w:t>
      </w:r>
      <w:r w:rsidR="00E14CD3" w:rsidRPr="0037610B">
        <w:rPr>
          <w:rFonts w:ascii="Arial" w:hAnsi="Arial" w:cs="Arial"/>
          <w:sz w:val="20"/>
          <w:szCs w:val="20"/>
        </w:rPr>
        <w:t xml:space="preserve">ob gains were </w:t>
      </w:r>
      <w:r w:rsidR="00F46847" w:rsidRPr="0037610B">
        <w:rPr>
          <w:rFonts w:ascii="Arial" w:hAnsi="Arial" w:cs="Arial"/>
          <w:sz w:val="20"/>
          <w:szCs w:val="20"/>
        </w:rPr>
        <w:t>concentrated in the leisure and hospitality sectors</w:t>
      </w:r>
      <w:r w:rsidR="0046771A">
        <w:rPr>
          <w:rFonts w:ascii="Arial" w:hAnsi="Arial" w:cs="Arial"/>
          <w:sz w:val="20"/>
          <w:szCs w:val="20"/>
        </w:rPr>
        <w:t xml:space="preserve">, which </w:t>
      </w:r>
      <w:r w:rsidR="00A547E4">
        <w:rPr>
          <w:rFonts w:ascii="Arial" w:hAnsi="Arial" w:cs="Arial"/>
          <w:sz w:val="20"/>
          <w:szCs w:val="20"/>
        </w:rPr>
        <w:t>have been</w:t>
      </w:r>
      <w:r w:rsidR="00A547E4" w:rsidRPr="0037610B">
        <w:rPr>
          <w:rFonts w:ascii="Arial" w:hAnsi="Arial" w:cs="Arial"/>
          <w:sz w:val="20"/>
          <w:szCs w:val="20"/>
        </w:rPr>
        <w:t xml:space="preserve"> </w:t>
      </w:r>
      <w:r w:rsidR="006948F0">
        <w:rPr>
          <w:rFonts w:ascii="Arial" w:hAnsi="Arial" w:cs="Arial"/>
          <w:sz w:val="20"/>
          <w:szCs w:val="20"/>
        </w:rPr>
        <w:t xml:space="preserve">hit </w:t>
      </w:r>
      <w:r w:rsidR="00F46847" w:rsidRPr="0037610B">
        <w:rPr>
          <w:rFonts w:ascii="Arial" w:hAnsi="Arial" w:cs="Arial"/>
          <w:sz w:val="20"/>
          <w:szCs w:val="20"/>
        </w:rPr>
        <w:t xml:space="preserve">hardest </w:t>
      </w:r>
      <w:r w:rsidR="00A547E4">
        <w:rPr>
          <w:rFonts w:ascii="Arial" w:hAnsi="Arial" w:cs="Arial"/>
          <w:sz w:val="20"/>
          <w:szCs w:val="20"/>
        </w:rPr>
        <w:t>by the pandemic</w:t>
      </w:r>
      <w:r w:rsidR="00F46847" w:rsidRPr="0037610B">
        <w:rPr>
          <w:rFonts w:ascii="Arial" w:hAnsi="Arial" w:cs="Arial"/>
          <w:sz w:val="20"/>
          <w:szCs w:val="20"/>
        </w:rPr>
        <w:t xml:space="preserve">. We also saw a noted decline in the average number of weekly unemployment claims in March. These results indicate that the </w:t>
      </w:r>
      <w:r w:rsidR="00E14CD3" w:rsidRPr="0037610B">
        <w:rPr>
          <w:rFonts w:ascii="Arial" w:hAnsi="Arial" w:cs="Arial"/>
          <w:sz w:val="20"/>
          <w:szCs w:val="20"/>
        </w:rPr>
        <w:t>reopening of many states has started to accelerate</w:t>
      </w:r>
      <w:r w:rsidR="00F46847" w:rsidRPr="0037610B">
        <w:rPr>
          <w:rFonts w:ascii="Arial" w:hAnsi="Arial" w:cs="Arial"/>
          <w:sz w:val="20"/>
          <w:szCs w:val="20"/>
        </w:rPr>
        <w:t xml:space="preserve"> the labor market recovery. </w:t>
      </w:r>
    </w:p>
    <w:p w14:paraId="1FBA930C" w14:textId="53A80601" w:rsidR="00F46847" w:rsidRPr="0037610B" w:rsidRDefault="00F46847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E641A" w14:textId="68EB6C36" w:rsidR="00C0204F" w:rsidRPr="0037610B" w:rsidRDefault="00F46847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>Consumers have noted the improved public health and economic conditions during the quarter.</w:t>
      </w:r>
      <w:r w:rsidR="00C0204F" w:rsidRPr="0037610B">
        <w:rPr>
          <w:rFonts w:ascii="Arial" w:hAnsi="Arial" w:cs="Arial"/>
          <w:sz w:val="20"/>
          <w:szCs w:val="20"/>
        </w:rPr>
        <w:t xml:space="preserve"> As you can see in Figure 1, the Conference Board </w:t>
      </w:r>
      <w:r w:rsidR="0049148C" w:rsidRPr="0037610B">
        <w:rPr>
          <w:rFonts w:ascii="Arial" w:hAnsi="Arial" w:cs="Arial"/>
          <w:sz w:val="20"/>
          <w:szCs w:val="20"/>
        </w:rPr>
        <w:t>C</w:t>
      </w:r>
      <w:r w:rsidR="00C0204F" w:rsidRPr="0037610B">
        <w:rPr>
          <w:rFonts w:ascii="Arial" w:hAnsi="Arial" w:cs="Arial"/>
          <w:sz w:val="20"/>
          <w:szCs w:val="20"/>
        </w:rPr>
        <w:t xml:space="preserve">onsumer </w:t>
      </w:r>
      <w:r w:rsidR="0049148C" w:rsidRPr="0037610B">
        <w:rPr>
          <w:rFonts w:ascii="Arial" w:hAnsi="Arial" w:cs="Arial"/>
          <w:sz w:val="20"/>
          <w:szCs w:val="20"/>
        </w:rPr>
        <w:t>C</w:t>
      </w:r>
      <w:r w:rsidR="00C0204F" w:rsidRPr="0037610B">
        <w:rPr>
          <w:rFonts w:ascii="Arial" w:hAnsi="Arial" w:cs="Arial"/>
          <w:sz w:val="20"/>
          <w:szCs w:val="20"/>
        </w:rPr>
        <w:t xml:space="preserve">onfidence </w:t>
      </w:r>
      <w:r w:rsidR="006948F0">
        <w:rPr>
          <w:rFonts w:ascii="Arial" w:hAnsi="Arial" w:cs="Arial"/>
          <w:sz w:val="20"/>
          <w:szCs w:val="20"/>
        </w:rPr>
        <w:t>I</w:t>
      </w:r>
      <w:r w:rsidR="00C0204F" w:rsidRPr="0037610B">
        <w:rPr>
          <w:rFonts w:ascii="Arial" w:hAnsi="Arial" w:cs="Arial"/>
          <w:sz w:val="20"/>
          <w:szCs w:val="20"/>
        </w:rPr>
        <w:t>ndex hit a new post-lockdown high in March</w:t>
      </w:r>
      <w:r w:rsidR="0046771A">
        <w:rPr>
          <w:rFonts w:ascii="Arial" w:hAnsi="Arial" w:cs="Arial"/>
          <w:sz w:val="20"/>
          <w:szCs w:val="20"/>
        </w:rPr>
        <w:t>. This</w:t>
      </w:r>
      <w:r w:rsidR="00C0204F" w:rsidRPr="0037610B">
        <w:rPr>
          <w:rFonts w:ascii="Arial" w:hAnsi="Arial" w:cs="Arial"/>
          <w:sz w:val="20"/>
          <w:szCs w:val="20"/>
        </w:rPr>
        <w:t xml:space="preserve"> indicates consumers are starting to see a light at the end of the tunnel. While there is still </w:t>
      </w:r>
      <w:proofErr w:type="gramStart"/>
      <w:r w:rsidR="00C0204F" w:rsidRPr="0037610B">
        <w:rPr>
          <w:rFonts w:ascii="Arial" w:hAnsi="Arial" w:cs="Arial"/>
          <w:sz w:val="20"/>
          <w:szCs w:val="20"/>
        </w:rPr>
        <w:t>work</w:t>
      </w:r>
      <w:proofErr w:type="gramEnd"/>
      <w:r w:rsidR="00C0204F" w:rsidRPr="0037610B">
        <w:rPr>
          <w:rFonts w:ascii="Arial" w:hAnsi="Arial" w:cs="Arial"/>
          <w:sz w:val="20"/>
          <w:szCs w:val="20"/>
        </w:rPr>
        <w:t xml:space="preserve"> to be done to get back to pre-pandemic levels, the improvements in March are a positive signal for the pace of the economic </w:t>
      </w:r>
      <w:r w:rsidR="0049148C" w:rsidRPr="0037610B">
        <w:rPr>
          <w:rFonts w:ascii="Arial" w:hAnsi="Arial" w:cs="Arial"/>
          <w:sz w:val="20"/>
          <w:szCs w:val="20"/>
        </w:rPr>
        <w:t xml:space="preserve">recovery. </w:t>
      </w:r>
    </w:p>
    <w:p w14:paraId="0ADBC137" w14:textId="4400D896" w:rsidR="00C0204F" w:rsidRPr="0037610B" w:rsidRDefault="00C0204F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81D5EB" w14:textId="5FD350F7" w:rsidR="00C0204F" w:rsidRPr="0037610B" w:rsidRDefault="00C0204F" w:rsidP="0037610B">
      <w:pPr>
        <w:keepNext/>
        <w:keepLine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610B">
        <w:rPr>
          <w:rFonts w:ascii="Arial" w:hAnsi="Arial" w:cs="Arial"/>
          <w:b/>
          <w:bCs/>
          <w:sz w:val="20"/>
          <w:szCs w:val="20"/>
        </w:rPr>
        <w:t>Figure 1</w:t>
      </w:r>
      <w:r w:rsidR="0037610B">
        <w:rPr>
          <w:rFonts w:ascii="Arial" w:hAnsi="Arial" w:cs="Arial"/>
          <w:b/>
          <w:bCs/>
          <w:sz w:val="20"/>
          <w:szCs w:val="20"/>
        </w:rPr>
        <w:t>.</w:t>
      </w:r>
      <w:r w:rsidRPr="0037610B">
        <w:rPr>
          <w:rFonts w:ascii="Arial" w:hAnsi="Arial" w:cs="Arial"/>
          <w:b/>
          <w:bCs/>
          <w:sz w:val="20"/>
          <w:szCs w:val="20"/>
        </w:rPr>
        <w:t xml:space="preserve"> Conference Board Consumer Confidence</w:t>
      </w:r>
      <w:r w:rsidR="0037610B">
        <w:rPr>
          <w:rFonts w:ascii="Arial" w:hAnsi="Arial" w:cs="Arial"/>
          <w:b/>
          <w:bCs/>
          <w:sz w:val="20"/>
          <w:szCs w:val="20"/>
        </w:rPr>
        <w:t>,</w:t>
      </w:r>
      <w:r w:rsidRPr="0037610B">
        <w:rPr>
          <w:rFonts w:ascii="Arial" w:hAnsi="Arial" w:cs="Arial"/>
          <w:b/>
          <w:bCs/>
          <w:sz w:val="20"/>
          <w:szCs w:val="20"/>
        </w:rPr>
        <w:t xml:space="preserve"> 2011</w:t>
      </w:r>
      <w:r w:rsidR="0037610B">
        <w:rPr>
          <w:rFonts w:ascii="Arial" w:hAnsi="Arial" w:cs="Arial"/>
          <w:b/>
          <w:bCs/>
          <w:sz w:val="20"/>
          <w:szCs w:val="20"/>
        </w:rPr>
        <w:t>–</w:t>
      </w:r>
      <w:r w:rsidRPr="0037610B">
        <w:rPr>
          <w:rFonts w:ascii="Arial" w:hAnsi="Arial" w:cs="Arial"/>
          <w:b/>
          <w:bCs/>
          <w:sz w:val="20"/>
          <w:szCs w:val="20"/>
        </w:rPr>
        <w:t xml:space="preserve">Present </w:t>
      </w:r>
    </w:p>
    <w:p w14:paraId="4EBB84DE" w14:textId="30D586B7" w:rsidR="00C0204F" w:rsidRPr="0037610B" w:rsidRDefault="00C0204F" w:rsidP="0037610B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9DE064" wp14:editId="6ECCDB2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3385" w14:textId="77777777" w:rsidR="00C0204F" w:rsidRPr="0037610B" w:rsidRDefault="00C0204F" w:rsidP="0037610B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6FFB3B9D" w14:textId="604626F5" w:rsidR="00F46847" w:rsidRPr="0037610B" w:rsidRDefault="006948F0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D3D1E" w:rsidRPr="0037610B">
        <w:rPr>
          <w:rFonts w:ascii="Arial" w:hAnsi="Arial" w:cs="Arial"/>
          <w:sz w:val="20"/>
          <w:szCs w:val="20"/>
        </w:rPr>
        <w:t xml:space="preserve">onsumer spending </w:t>
      </w:r>
      <w:r w:rsidR="00E14CD3" w:rsidRPr="0037610B">
        <w:rPr>
          <w:rFonts w:ascii="Arial" w:hAnsi="Arial" w:cs="Arial"/>
          <w:sz w:val="20"/>
          <w:szCs w:val="20"/>
        </w:rPr>
        <w:t>did see</w:t>
      </w:r>
      <w:r w:rsidR="002D3D1E" w:rsidRPr="0037610B">
        <w:rPr>
          <w:rFonts w:ascii="Arial" w:hAnsi="Arial" w:cs="Arial"/>
          <w:sz w:val="20"/>
          <w:szCs w:val="20"/>
        </w:rPr>
        <w:t xml:space="preserve"> a dip in February</w:t>
      </w:r>
      <w:r w:rsidR="00DE57F5">
        <w:rPr>
          <w:rFonts w:ascii="Arial" w:hAnsi="Arial" w:cs="Arial"/>
          <w:sz w:val="20"/>
          <w:szCs w:val="20"/>
        </w:rPr>
        <w:t>. It</w:t>
      </w:r>
      <w:r w:rsidR="002D3D1E" w:rsidRPr="0037610B">
        <w:rPr>
          <w:rFonts w:ascii="Arial" w:hAnsi="Arial" w:cs="Arial"/>
          <w:sz w:val="20"/>
          <w:szCs w:val="20"/>
        </w:rPr>
        <w:t xml:space="preserve"> was largely due to the inclement winter weather during the month</w:t>
      </w:r>
      <w:r w:rsidR="00DE57F5">
        <w:rPr>
          <w:rFonts w:ascii="Arial" w:hAnsi="Arial" w:cs="Arial"/>
          <w:sz w:val="20"/>
          <w:szCs w:val="20"/>
        </w:rPr>
        <w:t>, however, as well as</w:t>
      </w:r>
      <w:r w:rsidR="002D3D1E" w:rsidRPr="0037610B">
        <w:rPr>
          <w:rFonts w:ascii="Arial" w:hAnsi="Arial" w:cs="Arial"/>
          <w:sz w:val="20"/>
          <w:szCs w:val="20"/>
        </w:rPr>
        <w:t xml:space="preserve"> the fading impact from the December stimulus package. With a return to more normal weather in March</w:t>
      </w:r>
      <w:r>
        <w:rPr>
          <w:rFonts w:ascii="Arial" w:hAnsi="Arial" w:cs="Arial"/>
          <w:sz w:val="20"/>
          <w:szCs w:val="20"/>
        </w:rPr>
        <w:t xml:space="preserve"> and </w:t>
      </w:r>
      <w:r w:rsidR="002D3D1E" w:rsidRPr="0037610B">
        <w:rPr>
          <w:rFonts w:ascii="Arial" w:hAnsi="Arial" w:cs="Arial"/>
          <w:sz w:val="20"/>
          <w:szCs w:val="20"/>
        </w:rPr>
        <w:t xml:space="preserve">the tailwinds from increased </w:t>
      </w:r>
      <w:r w:rsidR="00E14CD3" w:rsidRPr="0037610B">
        <w:rPr>
          <w:rFonts w:ascii="Arial" w:hAnsi="Arial" w:cs="Arial"/>
          <w:sz w:val="20"/>
          <w:szCs w:val="20"/>
        </w:rPr>
        <w:t xml:space="preserve">hiring and </w:t>
      </w:r>
      <w:r w:rsidR="002D3D1E" w:rsidRPr="0037610B">
        <w:rPr>
          <w:rFonts w:ascii="Arial" w:hAnsi="Arial" w:cs="Arial"/>
          <w:sz w:val="20"/>
          <w:szCs w:val="20"/>
        </w:rPr>
        <w:t>confidence</w:t>
      </w:r>
      <w:r>
        <w:rPr>
          <w:rFonts w:ascii="Arial" w:hAnsi="Arial" w:cs="Arial"/>
          <w:sz w:val="20"/>
          <w:szCs w:val="20"/>
        </w:rPr>
        <w:t>—</w:t>
      </w:r>
      <w:r w:rsidR="00E14CD3" w:rsidRPr="0037610B">
        <w:rPr>
          <w:rFonts w:ascii="Arial" w:hAnsi="Arial" w:cs="Arial"/>
          <w:sz w:val="20"/>
          <w:szCs w:val="20"/>
        </w:rPr>
        <w:t xml:space="preserve">as well as </w:t>
      </w:r>
      <w:r w:rsidR="002D3D1E" w:rsidRPr="0037610B">
        <w:rPr>
          <w:rFonts w:ascii="Arial" w:hAnsi="Arial" w:cs="Arial"/>
          <w:sz w:val="20"/>
          <w:szCs w:val="20"/>
        </w:rPr>
        <w:t>another round of federal stimulus checks</w:t>
      </w:r>
      <w:r>
        <w:rPr>
          <w:rFonts w:ascii="Arial" w:hAnsi="Arial" w:cs="Arial"/>
          <w:sz w:val="20"/>
          <w:szCs w:val="20"/>
        </w:rPr>
        <w:t>—</w:t>
      </w:r>
      <w:r w:rsidR="00C0204F" w:rsidRPr="0037610B">
        <w:rPr>
          <w:rFonts w:ascii="Arial" w:hAnsi="Arial" w:cs="Arial"/>
          <w:sz w:val="20"/>
          <w:szCs w:val="20"/>
        </w:rPr>
        <w:t xml:space="preserve">we </w:t>
      </w:r>
      <w:r w:rsidR="00E14CD3" w:rsidRPr="0037610B">
        <w:rPr>
          <w:rFonts w:ascii="Arial" w:hAnsi="Arial" w:cs="Arial"/>
          <w:sz w:val="20"/>
          <w:szCs w:val="20"/>
        </w:rPr>
        <w:t>should see</w:t>
      </w:r>
      <w:r w:rsidR="00C0204F" w:rsidRPr="0037610B">
        <w:rPr>
          <w:rFonts w:ascii="Arial" w:hAnsi="Arial" w:cs="Arial"/>
          <w:sz w:val="20"/>
          <w:szCs w:val="20"/>
        </w:rPr>
        <w:t xml:space="preserve"> </w:t>
      </w:r>
      <w:r w:rsidR="002D3D1E" w:rsidRPr="0037610B">
        <w:rPr>
          <w:rFonts w:ascii="Arial" w:hAnsi="Arial" w:cs="Arial"/>
          <w:sz w:val="20"/>
          <w:szCs w:val="20"/>
        </w:rPr>
        <w:t xml:space="preserve">spending </w:t>
      </w:r>
      <w:r w:rsidR="00E14CD3" w:rsidRPr="0037610B">
        <w:rPr>
          <w:rFonts w:ascii="Arial" w:hAnsi="Arial" w:cs="Arial"/>
          <w:sz w:val="20"/>
          <w:szCs w:val="20"/>
        </w:rPr>
        <w:t>recover</w:t>
      </w:r>
      <w:r>
        <w:rPr>
          <w:rFonts w:ascii="Arial" w:hAnsi="Arial" w:cs="Arial"/>
          <w:sz w:val="20"/>
          <w:szCs w:val="20"/>
        </w:rPr>
        <w:t>.</w:t>
      </w:r>
      <w:r w:rsidR="0049148C" w:rsidRPr="0037610B">
        <w:rPr>
          <w:rFonts w:ascii="Arial" w:hAnsi="Arial" w:cs="Arial"/>
          <w:sz w:val="20"/>
          <w:szCs w:val="20"/>
        </w:rPr>
        <w:t xml:space="preserve"> </w:t>
      </w:r>
    </w:p>
    <w:p w14:paraId="04AA5778" w14:textId="15EA3F95" w:rsidR="00C0204F" w:rsidRPr="0037610B" w:rsidRDefault="00C0204F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5F851" w14:textId="1CADD243" w:rsidR="00C0204F" w:rsidRPr="0037610B" w:rsidRDefault="00C0204F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>Business confidence and spending also show</w:t>
      </w:r>
      <w:r w:rsidR="0049148C" w:rsidRPr="0037610B">
        <w:rPr>
          <w:rFonts w:ascii="Arial" w:hAnsi="Arial" w:cs="Arial"/>
          <w:sz w:val="20"/>
          <w:szCs w:val="20"/>
        </w:rPr>
        <w:t>ed</w:t>
      </w:r>
      <w:r w:rsidRPr="0037610B">
        <w:rPr>
          <w:rFonts w:ascii="Arial" w:hAnsi="Arial" w:cs="Arial"/>
          <w:sz w:val="20"/>
          <w:szCs w:val="20"/>
        </w:rPr>
        <w:t xml:space="preserve"> signs </w:t>
      </w:r>
      <w:r w:rsidR="006948F0">
        <w:rPr>
          <w:rFonts w:ascii="Arial" w:hAnsi="Arial" w:cs="Arial"/>
          <w:sz w:val="20"/>
          <w:szCs w:val="20"/>
        </w:rPr>
        <w:t xml:space="preserve">of </w:t>
      </w:r>
      <w:r w:rsidRPr="0037610B">
        <w:rPr>
          <w:rFonts w:ascii="Arial" w:hAnsi="Arial" w:cs="Arial"/>
          <w:sz w:val="20"/>
          <w:szCs w:val="20"/>
        </w:rPr>
        <w:t xml:space="preserve">potential faster growth. Manufacturer confidence finished the </w:t>
      </w:r>
      <w:r w:rsidR="008C3D17" w:rsidRPr="0037610B">
        <w:rPr>
          <w:rFonts w:ascii="Arial" w:hAnsi="Arial" w:cs="Arial"/>
          <w:sz w:val="20"/>
          <w:szCs w:val="20"/>
        </w:rPr>
        <w:t>month</w:t>
      </w:r>
      <w:r w:rsidRPr="0037610B">
        <w:rPr>
          <w:rFonts w:ascii="Arial" w:hAnsi="Arial" w:cs="Arial"/>
          <w:sz w:val="20"/>
          <w:szCs w:val="20"/>
        </w:rPr>
        <w:t xml:space="preserve"> at its highest level since </w:t>
      </w:r>
      <w:r w:rsidR="008C3D17" w:rsidRPr="0037610B">
        <w:rPr>
          <w:rFonts w:ascii="Arial" w:hAnsi="Arial" w:cs="Arial"/>
          <w:sz w:val="20"/>
          <w:szCs w:val="20"/>
        </w:rPr>
        <w:t>1983</w:t>
      </w:r>
      <w:r w:rsidR="0046771A">
        <w:rPr>
          <w:rFonts w:ascii="Arial" w:hAnsi="Arial" w:cs="Arial"/>
          <w:sz w:val="20"/>
          <w:szCs w:val="20"/>
        </w:rPr>
        <w:t xml:space="preserve"> due to</w:t>
      </w:r>
      <w:r w:rsidRPr="0037610B">
        <w:rPr>
          <w:rFonts w:ascii="Arial" w:hAnsi="Arial" w:cs="Arial"/>
          <w:sz w:val="20"/>
          <w:szCs w:val="20"/>
        </w:rPr>
        <w:t xml:space="preserve"> </w:t>
      </w:r>
      <w:r w:rsidR="006948F0">
        <w:rPr>
          <w:rFonts w:ascii="Arial" w:hAnsi="Arial" w:cs="Arial"/>
          <w:sz w:val="20"/>
          <w:szCs w:val="20"/>
        </w:rPr>
        <w:t>strong</w:t>
      </w:r>
      <w:r w:rsidRPr="0037610B">
        <w:rPr>
          <w:rFonts w:ascii="Arial" w:hAnsi="Arial" w:cs="Arial"/>
          <w:sz w:val="20"/>
          <w:szCs w:val="20"/>
        </w:rPr>
        <w:t xml:space="preserve"> </w:t>
      </w:r>
      <w:r w:rsidR="0049148C" w:rsidRPr="0037610B">
        <w:rPr>
          <w:rFonts w:ascii="Arial" w:hAnsi="Arial" w:cs="Arial"/>
          <w:sz w:val="20"/>
          <w:szCs w:val="20"/>
        </w:rPr>
        <w:t xml:space="preserve">buyer </w:t>
      </w:r>
      <w:r w:rsidRPr="0037610B">
        <w:rPr>
          <w:rFonts w:ascii="Arial" w:hAnsi="Arial" w:cs="Arial"/>
          <w:sz w:val="20"/>
          <w:szCs w:val="20"/>
        </w:rPr>
        <w:t xml:space="preserve">demand and </w:t>
      </w:r>
      <w:r w:rsidR="008C3D17" w:rsidRPr="0037610B">
        <w:rPr>
          <w:rFonts w:ascii="Arial" w:hAnsi="Arial" w:cs="Arial"/>
          <w:sz w:val="20"/>
          <w:szCs w:val="20"/>
        </w:rPr>
        <w:t xml:space="preserve">low business </w:t>
      </w:r>
      <w:r w:rsidR="0049148C" w:rsidRPr="0037610B">
        <w:rPr>
          <w:rFonts w:ascii="Arial" w:hAnsi="Arial" w:cs="Arial"/>
          <w:sz w:val="20"/>
          <w:szCs w:val="20"/>
        </w:rPr>
        <w:t>inventory</w:t>
      </w:r>
      <w:r w:rsidR="008C3D17" w:rsidRPr="0037610B">
        <w:rPr>
          <w:rFonts w:ascii="Arial" w:hAnsi="Arial" w:cs="Arial"/>
          <w:sz w:val="20"/>
          <w:szCs w:val="20"/>
        </w:rPr>
        <w:t>. As was the case with consumer spending, business spending saw a modest weather</w:t>
      </w:r>
      <w:r w:rsidR="006948F0">
        <w:rPr>
          <w:rFonts w:ascii="Arial" w:hAnsi="Arial" w:cs="Arial"/>
          <w:sz w:val="20"/>
          <w:szCs w:val="20"/>
        </w:rPr>
        <w:t>-</w:t>
      </w:r>
      <w:r w:rsidR="008C3D17" w:rsidRPr="0037610B">
        <w:rPr>
          <w:rFonts w:ascii="Arial" w:hAnsi="Arial" w:cs="Arial"/>
          <w:sz w:val="20"/>
          <w:szCs w:val="20"/>
        </w:rPr>
        <w:t>related decline in February</w:t>
      </w:r>
      <w:r w:rsidR="006948F0">
        <w:rPr>
          <w:rFonts w:ascii="Arial" w:hAnsi="Arial" w:cs="Arial"/>
          <w:sz w:val="20"/>
          <w:szCs w:val="20"/>
        </w:rPr>
        <w:t>.</w:t>
      </w:r>
      <w:r w:rsidR="008C3D17" w:rsidRPr="0037610B">
        <w:rPr>
          <w:rFonts w:ascii="Arial" w:hAnsi="Arial" w:cs="Arial"/>
          <w:sz w:val="20"/>
          <w:szCs w:val="20"/>
        </w:rPr>
        <w:t xml:space="preserve"> </w:t>
      </w:r>
      <w:r w:rsidR="006948F0">
        <w:rPr>
          <w:rFonts w:ascii="Arial" w:hAnsi="Arial" w:cs="Arial"/>
          <w:sz w:val="20"/>
          <w:szCs w:val="20"/>
        </w:rPr>
        <w:t>G</w:t>
      </w:r>
      <w:r w:rsidR="008C3D17" w:rsidRPr="0037610B">
        <w:rPr>
          <w:rFonts w:ascii="Arial" w:hAnsi="Arial" w:cs="Arial"/>
          <w:sz w:val="20"/>
          <w:szCs w:val="20"/>
        </w:rPr>
        <w:t xml:space="preserve">iven the high levels of confidence and </w:t>
      </w:r>
      <w:r w:rsidR="006948F0">
        <w:rPr>
          <w:rFonts w:ascii="Arial" w:hAnsi="Arial" w:cs="Arial"/>
          <w:sz w:val="20"/>
          <w:szCs w:val="20"/>
        </w:rPr>
        <w:t>the boost</w:t>
      </w:r>
      <w:r w:rsidR="008C3D17" w:rsidRPr="0037610B">
        <w:rPr>
          <w:rFonts w:ascii="Arial" w:hAnsi="Arial" w:cs="Arial"/>
          <w:sz w:val="20"/>
          <w:szCs w:val="20"/>
        </w:rPr>
        <w:t xml:space="preserve"> from the recent stimulus bill, </w:t>
      </w:r>
      <w:r w:rsidR="006948F0">
        <w:rPr>
          <w:rFonts w:ascii="Arial" w:hAnsi="Arial" w:cs="Arial"/>
          <w:sz w:val="20"/>
          <w:szCs w:val="20"/>
        </w:rPr>
        <w:lastRenderedPageBreak/>
        <w:t xml:space="preserve">however, </w:t>
      </w:r>
      <w:r w:rsidR="00A547E4">
        <w:rPr>
          <w:rFonts w:ascii="Arial" w:hAnsi="Arial" w:cs="Arial"/>
          <w:sz w:val="20"/>
          <w:szCs w:val="20"/>
        </w:rPr>
        <w:t>we can expect to see a</w:t>
      </w:r>
      <w:r w:rsidR="008C3D17" w:rsidRPr="0037610B">
        <w:rPr>
          <w:rFonts w:ascii="Arial" w:hAnsi="Arial" w:cs="Arial"/>
          <w:sz w:val="20"/>
          <w:szCs w:val="20"/>
        </w:rPr>
        <w:t xml:space="preserve"> swift return to business spending growth</w:t>
      </w:r>
      <w:r w:rsidR="00A547E4">
        <w:rPr>
          <w:rFonts w:ascii="Arial" w:hAnsi="Arial" w:cs="Arial"/>
          <w:sz w:val="20"/>
          <w:szCs w:val="20"/>
        </w:rPr>
        <w:t xml:space="preserve"> reflected in upcoming data reports</w:t>
      </w:r>
      <w:r w:rsidR="008C3D17" w:rsidRPr="0037610B">
        <w:rPr>
          <w:rFonts w:ascii="Arial" w:hAnsi="Arial" w:cs="Arial"/>
          <w:sz w:val="20"/>
          <w:szCs w:val="20"/>
        </w:rPr>
        <w:t xml:space="preserve">. </w:t>
      </w:r>
    </w:p>
    <w:p w14:paraId="08B8A6E7" w14:textId="2EE7B0DA" w:rsidR="00C0204F" w:rsidRPr="0037610B" w:rsidRDefault="00C0204F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78793C" w14:textId="1E8F41D2" w:rsidR="00C0204F" w:rsidRPr="0037610B" w:rsidRDefault="00875B1E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b/>
          <w:bCs/>
          <w:sz w:val="20"/>
          <w:szCs w:val="20"/>
        </w:rPr>
        <w:t xml:space="preserve">The </w:t>
      </w:r>
      <w:r w:rsidR="0037610B" w:rsidRPr="0037610B">
        <w:rPr>
          <w:rFonts w:ascii="Arial" w:hAnsi="Arial" w:cs="Arial"/>
          <w:b/>
          <w:bCs/>
          <w:sz w:val="20"/>
          <w:szCs w:val="20"/>
        </w:rPr>
        <w:t>Progress Is Real</w:t>
      </w:r>
      <w:r w:rsidR="0037610B">
        <w:rPr>
          <w:rFonts w:ascii="Arial" w:hAnsi="Arial" w:cs="Arial"/>
          <w:b/>
          <w:bCs/>
          <w:sz w:val="20"/>
          <w:szCs w:val="20"/>
        </w:rPr>
        <w:t>, b</w:t>
      </w:r>
      <w:r w:rsidR="0037610B" w:rsidRPr="0037610B">
        <w:rPr>
          <w:rFonts w:ascii="Arial" w:hAnsi="Arial" w:cs="Arial"/>
          <w:b/>
          <w:bCs/>
          <w:sz w:val="20"/>
          <w:szCs w:val="20"/>
        </w:rPr>
        <w:t>ut Risks Remain</w:t>
      </w:r>
    </w:p>
    <w:p w14:paraId="69BF0F66" w14:textId="6554821B" w:rsidR="00103DB3" w:rsidRPr="0037610B" w:rsidRDefault="00103DB3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 xml:space="preserve">We </w:t>
      </w:r>
      <w:r w:rsidR="00875B1E" w:rsidRPr="0037610B">
        <w:rPr>
          <w:rFonts w:ascii="Arial" w:hAnsi="Arial" w:cs="Arial"/>
          <w:sz w:val="20"/>
          <w:szCs w:val="20"/>
        </w:rPr>
        <w:t>made real progress</w:t>
      </w:r>
      <w:r w:rsidRPr="0037610B">
        <w:rPr>
          <w:rFonts w:ascii="Arial" w:hAnsi="Arial" w:cs="Arial"/>
          <w:sz w:val="20"/>
          <w:szCs w:val="20"/>
        </w:rPr>
        <w:t xml:space="preserve"> </w:t>
      </w:r>
      <w:r w:rsidR="006948F0">
        <w:rPr>
          <w:rFonts w:ascii="Arial" w:hAnsi="Arial" w:cs="Arial"/>
          <w:sz w:val="20"/>
          <w:szCs w:val="20"/>
        </w:rPr>
        <w:t>with</w:t>
      </w:r>
      <w:r w:rsidR="00875B1E" w:rsidRPr="0037610B">
        <w:rPr>
          <w:rFonts w:ascii="Arial" w:hAnsi="Arial" w:cs="Arial"/>
          <w:sz w:val="20"/>
          <w:szCs w:val="20"/>
        </w:rPr>
        <w:t xml:space="preserve"> vaccinations and </w:t>
      </w:r>
      <w:r w:rsidRPr="0037610B">
        <w:rPr>
          <w:rFonts w:ascii="Arial" w:hAnsi="Arial" w:cs="Arial"/>
          <w:sz w:val="20"/>
          <w:szCs w:val="20"/>
        </w:rPr>
        <w:t>the econom</w:t>
      </w:r>
      <w:r w:rsidR="00875B1E" w:rsidRPr="0037610B">
        <w:rPr>
          <w:rFonts w:ascii="Arial" w:hAnsi="Arial" w:cs="Arial"/>
          <w:sz w:val="20"/>
          <w:szCs w:val="20"/>
        </w:rPr>
        <w:t>y</w:t>
      </w:r>
      <w:r w:rsidR="00D23CE7" w:rsidRPr="0037610B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>during the month</w:t>
      </w:r>
      <w:r w:rsidR="0046771A">
        <w:rPr>
          <w:rFonts w:ascii="Arial" w:hAnsi="Arial" w:cs="Arial"/>
          <w:sz w:val="20"/>
          <w:szCs w:val="20"/>
        </w:rPr>
        <w:t xml:space="preserve">. </w:t>
      </w:r>
      <w:r w:rsidR="00DE57F5">
        <w:rPr>
          <w:rFonts w:ascii="Arial" w:hAnsi="Arial" w:cs="Arial"/>
          <w:sz w:val="20"/>
          <w:szCs w:val="20"/>
        </w:rPr>
        <w:t>But even so, t</w:t>
      </w:r>
      <w:r w:rsidRPr="0037610B">
        <w:rPr>
          <w:rFonts w:ascii="Arial" w:hAnsi="Arial" w:cs="Arial"/>
          <w:sz w:val="20"/>
          <w:szCs w:val="20"/>
        </w:rPr>
        <w:t>he rising</w:t>
      </w:r>
      <w:r w:rsidR="00DE57F5">
        <w:rPr>
          <w:rFonts w:ascii="Arial" w:hAnsi="Arial" w:cs="Arial"/>
          <w:sz w:val="20"/>
          <w:szCs w:val="20"/>
        </w:rPr>
        <w:t xml:space="preserve"> </w:t>
      </w:r>
      <w:r w:rsidR="00D23CE7" w:rsidRPr="0037610B">
        <w:rPr>
          <w:rFonts w:ascii="Arial" w:hAnsi="Arial" w:cs="Arial"/>
          <w:sz w:val="20"/>
          <w:szCs w:val="20"/>
        </w:rPr>
        <w:t>case count</w:t>
      </w:r>
      <w:r w:rsidR="0049148C" w:rsidRPr="0037610B">
        <w:rPr>
          <w:rFonts w:ascii="Arial" w:hAnsi="Arial" w:cs="Arial"/>
          <w:sz w:val="20"/>
          <w:szCs w:val="20"/>
        </w:rPr>
        <w:t>s</w:t>
      </w:r>
      <w:r w:rsidR="00D23CE7" w:rsidRPr="0037610B">
        <w:rPr>
          <w:rFonts w:ascii="Arial" w:hAnsi="Arial" w:cs="Arial"/>
          <w:sz w:val="20"/>
          <w:szCs w:val="20"/>
        </w:rPr>
        <w:t xml:space="preserve"> toward </w:t>
      </w:r>
      <w:r w:rsidR="00875B1E" w:rsidRPr="0037610B">
        <w:rPr>
          <w:rFonts w:ascii="Arial" w:hAnsi="Arial" w:cs="Arial"/>
          <w:sz w:val="20"/>
          <w:szCs w:val="20"/>
        </w:rPr>
        <w:t>month-</w:t>
      </w:r>
      <w:r w:rsidR="00D23CE7" w:rsidRPr="0037610B">
        <w:rPr>
          <w:rFonts w:ascii="Arial" w:hAnsi="Arial" w:cs="Arial"/>
          <w:sz w:val="20"/>
          <w:szCs w:val="20"/>
        </w:rPr>
        <w:t>end served as a reminder that</w:t>
      </w:r>
      <w:r w:rsidR="00875B1E" w:rsidRPr="0037610B">
        <w:rPr>
          <w:rFonts w:ascii="Arial" w:hAnsi="Arial" w:cs="Arial"/>
          <w:sz w:val="20"/>
          <w:szCs w:val="20"/>
        </w:rPr>
        <w:t xml:space="preserve"> the medical risks are still out there. </w:t>
      </w:r>
      <w:r w:rsidR="00DE57F5">
        <w:rPr>
          <w:rFonts w:ascii="Arial" w:hAnsi="Arial" w:cs="Arial"/>
          <w:sz w:val="20"/>
          <w:szCs w:val="20"/>
        </w:rPr>
        <w:t>T</w:t>
      </w:r>
      <w:r w:rsidR="00D23CE7" w:rsidRPr="0037610B">
        <w:rPr>
          <w:rFonts w:ascii="Arial" w:hAnsi="Arial" w:cs="Arial"/>
          <w:sz w:val="20"/>
          <w:szCs w:val="20"/>
        </w:rPr>
        <w:t xml:space="preserve">he potential for more infectious strains to cause faster case growth </w:t>
      </w:r>
      <w:r w:rsidR="0049148C" w:rsidRPr="0037610B">
        <w:rPr>
          <w:rFonts w:ascii="Arial" w:hAnsi="Arial" w:cs="Arial"/>
          <w:sz w:val="20"/>
          <w:szCs w:val="20"/>
        </w:rPr>
        <w:t xml:space="preserve">on a national level </w:t>
      </w:r>
      <w:r w:rsidR="00D23CE7" w:rsidRPr="0037610B">
        <w:rPr>
          <w:rFonts w:ascii="Arial" w:hAnsi="Arial" w:cs="Arial"/>
          <w:sz w:val="20"/>
          <w:szCs w:val="20"/>
        </w:rPr>
        <w:t xml:space="preserve">is a risk </w:t>
      </w:r>
      <w:r w:rsidR="00E14CD3" w:rsidRPr="0037610B">
        <w:rPr>
          <w:rFonts w:ascii="Arial" w:hAnsi="Arial" w:cs="Arial"/>
          <w:sz w:val="20"/>
          <w:szCs w:val="20"/>
        </w:rPr>
        <w:t>we need to keep an eye on</w:t>
      </w:r>
      <w:r w:rsidR="00D23CE7" w:rsidRPr="0037610B">
        <w:rPr>
          <w:rFonts w:ascii="Arial" w:hAnsi="Arial" w:cs="Arial"/>
          <w:sz w:val="20"/>
          <w:szCs w:val="20"/>
        </w:rPr>
        <w:t xml:space="preserve">. </w:t>
      </w:r>
    </w:p>
    <w:p w14:paraId="124DCA79" w14:textId="20D73E86" w:rsidR="00D23CE7" w:rsidRPr="0037610B" w:rsidRDefault="00D23CE7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864D2E" w14:textId="7FA2AB5D" w:rsidR="00D23CE7" w:rsidRPr="0037610B" w:rsidRDefault="00875B1E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10B">
        <w:rPr>
          <w:rFonts w:ascii="Arial" w:hAnsi="Arial" w:cs="Arial"/>
          <w:sz w:val="20"/>
          <w:szCs w:val="20"/>
        </w:rPr>
        <w:t xml:space="preserve">Economically, </w:t>
      </w:r>
      <w:r w:rsidR="00D23CE7" w:rsidRPr="0037610B">
        <w:rPr>
          <w:rFonts w:ascii="Arial" w:hAnsi="Arial" w:cs="Arial"/>
          <w:sz w:val="20"/>
          <w:szCs w:val="20"/>
        </w:rPr>
        <w:t xml:space="preserve">risks have diminished with </w:t>
      </w:r>
      <w:r w:rsidRPr="0037610B">
        <w:rPr>
          <w:rFonts w:ascii="Arial" w:hAnsi="Arial" w:cs="Arial"/>
          <w:sz w:val="20"/>
          <w:szCs w:val="20"/>
        </w:rPr>
        <w:t>the recovery in hiring and confidence.</w:t>
      </w:r>
      <w:r w:rsidR="00D7558B">
        <w:rPr>
          <w:rFonts w:ascii="Arial" w:hAnsi="Arial" w:cs="Arial"/>
          <w:sz w:val="20"/>
          <w:szCs w:val="20"/>
        </w:rPr>
        <w:t xml:space="preserve"> </w:t>
      </w:r>
      <w:r w:rsidRPr="0037610B">
        <w:rPr>
          <w:rFonts w:ascii="Arial" w:hAnsi="Arial" w:cs="Arial"/>
          <w:sz w:val="20"/>
          <w:szCs w:val="20"/>
        </w:rPr>
        <w:t>Th</w:t>
      </w:r>
      <w:r w:rsidR="00D23CE7" w:rsidRPr="0037610B">
        <w:rPr>
          <w:rFonts w:ascii="Arial" w:hAnsi="Arial" w:cs="Arial"/>
          <w:sz w:val="20"/>
          <w:szCs w:val="20"/>
        </w:rPr>
        <w:t>e passage of the most recent stimulus bill in March</w:t>
      </w:r>
      <w:r w:rsidRPr="0037610B">
        <w:rPr>
          <w:rFonts w:ascii="Arial" w:hAnsi="Arial" w:cs="Arial"/>
          <w:sz w:val="20"/>
          <w:szCs w:val="20"/>
        </w:rPr>
        <w:t xml:space="preserve"> will also help</w:t>
      </w:r>
      <w:r w:rsidR="00D23CE7" w:rsidRPr="0037610B">
        <w:rPr>
          <w:rFonts w:ascii="Arial" w:hAnsi="Arial" w:cs="Arial"/>
          <w:sz w:val="20"/>
          <w:szCs w:val="20"/>
        </w:rPr>
        <w:t xml:space="preserve"> support </w:t>
      </w:r>
      <w:r w:rsidRPr="0037610B">
        <w:rPr>
          <w:rFonts w:ascii="Arial" w:hAnsi="Arial" w:cs="Arial"/>
          <w:sz w:val="20"/>
          <w:szCs w:val="20"/>
        </w:rPr>
        <w:t>spending</w:t>
      </w:r>
      <w:r w:rsidR="00D23CE7" w:rsidRPr="0037610B">
        <w:rPr>
          <w:rFonts w:ascii="Arial" w:hAnsi="Arial" w:cs="Arial"/>
          <w:sz w:val="20"/>
          <w:szCs w:val="20"/>
        </w:rPr>
        <w:t xml:space="preserve">. </w:t>
      </w:r>
      <w:r w:rsidR="009746ED" w:rsidRPr="0037610B">
        <w:rPr>
          <w:rFonts w:ascii="Arial" w:hAnsi="Arial" w:cs="Arial"/>
          <w:sz w:val="20"/>
          <w:szCs w:val="20"/>
        </w:rPr>
        <w:t>While the medical risks may worsen in the short term, the economy looks to have enough momentum to ride them out until the pandemic is brought under full control.</w:t>
      </w:r>
    </w:p>
    <w:p w14:paraId="0FED236B" w14:textId="77777777" w:rsidR="00D23CE7" w:rsidRPr="0037610B" w:rsidRDefault="00D23CE7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B5C85" w14:textId="7D5BC7DD" w:rsidR="00C0204F" w:rsidRPr="0037610B" w:rsidRDefault="00DE57F5" w:rsidP="003761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75B1E" w:rsidRPr="0037610B">
        <w:rPr>
          <w:rFonts w:ascii="Arial" w:hAnsi="Arial" w:cs="Arial"/>
          <w:sz w:val="20"/>
          <w:szCs w:val="20"/>
        </w:rPr>
        <w:t xml:space="preserve">here is </w:t>
      </w:r>
      <w:r>
        <w:rPr>
          <w:rFonts w:ascii="Arial" w:hAnsi="Arial" w:cs="Arial"/>
          <w:sz w:val="20"/>
          <w:szCs w:val="20"/>
        </w:rPr>
        <w:t xml:space="preserve">still </w:t>
      </w:r>
      <w:r w:rsidR="00D23CE7" w:rsidRPr="0037610B">
        <w:rPr>
          <w:rFonts w:ascii="Arial" w:hAnsi="Arial" w:cs="Arial"/>
          <w:sz w:val="20"/>
          <w:szCs w:val="20"/>
        </w:rPr>
        <w:t xml:space="preserve">uncertainty surrounding the pace and path of the </w:t>
      </w:r>
      <w:r w:rsidR="0049148C" w:rsidRPr="0037610B">
        <w:rPr>
          <w:rFonts w:ascii="Arial" w:hAnsi="Arial" w:cs="Arial"/>
          <w:sz w:val="20"/>
          <w:szCs w:val="20"/>
        </w:rPr>
        <w:t xml:space="preserve">expected </w:t>
      </w:r>
      <w:r w:rsidR="00D23CE7" w:rsidRPr="0037610B">
        <w:rPr>
          <w:rFonts w:ascii="Arial" w:hAnsi="Arial" w:cs="Arial"/>
          <w:sz w:val="20"/>
          <w:szCs w:val="20"/>
        </w:rPr>
        <w:t>recovery</w:t>
      </w:r>
      <w:r w:rsidR="00875B1E" w:rsidRPr="0037610B">
        <w:rPr>
          <w:rFonts w:ascii="Arial" w:hAnsi="Arial" w:cs="Arial"/>
          <w:sz w:val="20"/>
          <w:szCs w:val="20"/>
        </w:rPr>
        <w:t>, and that could lead to more market volatility</w:t>
      </w:r>
      <w:r w:rsidR="00D23CE7" w:rsidRPr="0037610B">
        <w:rPr>
          <w:rFonts w:ascii="Arial" w:hAnsi="Arial" w:cs="Arial"/>
          <w:sz w:val="20"/>
          <w:szCs w:val="20"/>
        </w:rPr>
        <w:t xml:space="preserve">. </w:t>
      </w:r>
      <w:r w:rsidR="006948F0">
        <w:rPr>
          <w:rFonts w:ascii="Arial" w:hAnsi="Arial" w:cs="Arial"/>
          <w:sz w:val="20"/>
          <w:szCs w:val="20"/>
        </w:rPr>
        <w:t>A</w:t>
      </w:r>
      <w:r w:rsidR="00D23CE7" w:rsidRPr="0037610B">
        <w:rPr>
          <w:rFonts w:ascii="Arial" w:hAnsi="Arial" w:cs="Arial"/>
          <w:sz w:val="20"/>
          <w:szCs w:val="20"/>
        </w:rPr>
        <w:t xml:space="preserve"> well-diversified portfolio that matches investor goals and timelines </w:t>
      </w:r>
      <w:r w:rsidR="0049148C" w:rsidRPr="0037610B">
        <w:rPr>
          <w:rFonts w:ascii="Arial" w:hAnsi="Arial" w:cs="Arial"/>
          <w:sz w:val="20"/>
          <w:szCs w:val="20"/>
        </w:rPr>
        <w:t>represents</w:t>
      </w:r>
      <w:r w:rsidR="00D23CE7" w:rsidRPr="0037610B">
        <w:rPr>
          <w:rFonts w:ascii="Arial" w:hAnsi="Arial" w:cs="Arial"/>
          <w:sz w:val="20"/>
          <w:szCs w:val="20"/>
        </w:rPr>
        <w:t xml:space="preserve"> the best path forward for most. </w:t>
      </w:r>
      <w:r w:rsidR="006948F0">
        <w:rPr>
          <w:rFonts w:ascii="Arial" w:hAnsi="Arial" w:cs="Arial"/>
          <w:sz w:val="20"/>
          <w:szCs w:val="20"/>
        </w:rPr>
        <w:t>I</w:t>
      </w:r>
      <w:r w:rsidR="00D23CE7" w:rsidRPr="0037610B">
        <w:rPr>
          <w:rFonts w:ascii="Arial" w:hAnsi="Arial" w:cs="Arial"/>
          <w:sz w:val="20"/>
          <w:szCs w:val="20"/>
        </w:rPr>
        <w:t xml:space="preserve">f concerns remain, contact your financial advisor to discuss your financial plan. </w:t>
      </w:r>
    </w:p>
    <w:p w14:paraId="779E38DB" w14:textId="0BF828CA" w:rsidR="003202B4" w:rsidRPr="0037610B" w:rsidRDefault="003202B4" w:rsidP="003761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71AD24" w14:textId="77777777" w:rsidR="003202B4" w:rsidRPr="0037610B" w:rsidRDefault="003202B4" w:rsidP="0037610B">
      <w:pPr>
        <w:tabs>
          <w:tab w:val="left" w:pos="6120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37610B">
        <w:rPr>
          <w:rFonts w:ascii="Arial" w:hAnsi="Arial" w:cs="Arial"/>
          <w:i/>
          <w:iCs/>
          <w:sz w:val="16"/>
          <w:szCs w:val="16"/>
        </w:rPr>
        <w:t xml:space="preserve">All information according to Bloomberg, unless stated otherwise. </w:t>
      </w:r>
    </w:p>
    <w:p w14:paraId="340C258E" w14:textId="77777777" w:rsidR="003202B4" w:rsidRPr="0037610B" w:rsidRDefault="003202B4" w:rsidP="0037610B">
      <w:pPr>
        <w:tabs>
          <w:tab w:val="left" w:pos="6120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51098C81" w14:textId="77777777" w:rsidR="003202B4" w:rsidRPr="0037610B" w:rsidRDefault="003202B4" w:rsidP="0037610B">
      <w:pPr>
        <w:tabs>
          <w:tab w:val="left" w:pos="6120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37610B">
        <w:rPr>
          <w:rFonts w:ascii="Arial" w:hAnsi="Arial" w:cs="Arial"/>
          <w:b/>
          <w:bCs/>
          <w:i/>
          <w:iCs/>
          <w:sz w:val="16"/>
          <w:szCs w:val="16"/>
        </w:rPr>
        <w:t>Disclosure:</w:t>
      </w:r>
      <w:r w:rsidRPr="0037610B">
        <w:rPr>
          <w:rFonts w:ascii="Arial" w:hAnsi="Arial" w:cs="Arial"/>
          <w:i/>
          <w:sz w:val="16"/>
          <w:szCs w:val="16"/>
        </w:rPr>
        <w:t xml:space="preserve"> </w:t>
      </w:r>
      <w:r w:rsidRPr="0037610B">
        <w:rPr>
          <w:rFonts w:ascii="Arial" w:hAnsi="Arial" w:cs="Arial"/>
          <w:i/>
          <w:iCs/>
          <w:sz w:val="16"/>
          <w:szCs w:val="16"/>
        </w:rPr>
        <w:t xml:space="preserve">Certain sections of this commentary contain forward-looking statements based on our reasonable expectations, estimates, projections, and assumptions. Forward-looking statements are not </w:t>
      </w:r>
      <w:proofErr w:type="gramStart"/>
      <w:r w:rsidRPr="0037610B">
        <w:rPr>
          <w:rFonts w:ascii="Arial" w:hAnsi="Arial" w:cs="Arial"/>
          <w:i/>
          <w:iCs/>
          <w:sz w:val="16"/>
          <w:szCs w:val="16"/>
        </w:rPr>
        <w:t>guarantees</w:t>
      </w:r>
      <w:proofErr w:type="gramEnd"/>
      <w:r w:rsidRPr="0037610B">
        <w:rPr>
          <w:rFonts w:ascii="Arial" w:hAnsi="Arial" w:cs="Arial"/>
          <w:i/>
          <w:iCs/>
          <w:sz w:val="16"/>
          <w:szCs w:val="16"/>
        </w:rPr>
        <w:t xml:space="preserve"> of future performance and involve certain risks and uncertainties, which are difficult to predict. Past performance is not indicative of future results. Diversification does not assure a profit or protect against loss in declining markets. All indices are </w:t>
      </w:r>
      <w:proofErr w:type="gramStart"/>
      <w:r w:rsidRPr="0037610B">
        <w:rPr>
          <w:rFonts w:ascii="Arial" w:hAnsi="Arial" w:cs="Arial"/>
          <w:i/>
          <w:iCs/>
          <w:sz w:val="16"/>
          <w:szCs w:val="16"/>
        </w:rPr>
        <w:t>unmanaged</w:t>
      </w:r>
      <w:proofErr w:type="gramEnd"/>
      <w:r w:rsidRPr="0037610B">
        <w:rPr>
          <w:rFonts w:ascii="Arial" w:hAnsi="Arial" w:cs="Arial"/>
          <w:i/>
          <w:iCs/>
          <w:sz w:val="16"/>
          <w:szCs w:val="16"/>
        </w:rPr>
        <w:t xml:space="preserve"> and investors cannot invest directly into an index. The Dow Jones Industrial Average is a price-weighted average of 30 actively traded blue-chip stocks. The S&amp;P 500 Index is a broad-based measurement of changes in stock market conditions based on the average performance of 500 widely held common stocks. </w:t>
      </w:r>
      <w:r w:rsidRPr="0037610B">
        <w:rPr>
          <w:rFonts w:ascii="Arial" w:hAnsi="Arial" w:cs="Arial"/>
          <w:i/>
          <w:sz w:val="16"/>
          <w:szCs w:val="16"/>
        </w:rPr>
        <w:t>The Nasdaq Composite Index measures the performance of all issues listed in the Nasdaq Stock Market, except for rights, warrants, units, and convertible debentures.</w:t>
      </w:r>
      <w:r w:rsidRPr="0037610B">
        <w:rPr>
          <w:rFonts w:ascii="Arial" w:hAnsi="Arial" w:cs="Arial"/>
          <w:i/>
          <w:iCs/>
          <w:sz w:val="16"/>
          <w:szCs w:val="16"/>
        </w:rPr>
        <w:t xml:space="preserve"> The MSCI EAFE Index is a float-adjusted market capitalization index designed to measure developed market equity performance, excluding the U.S. and Canada. The MSCI Emerging Markets Index is a market capitalization-weighted index composed of </w:t>
      </w:r>
      <w:proofErr w:type="gramStart"/>
      <w:r w:rsidRPr="0037610B">
        <w:rPr>
          <w:rFonts w:ascii="Arial" w:hAnsi="Arial" w:cs="Arial"/>
          <w:i/>
          <w:iCs/>
          <w:sz w:val="16"/>
          <w:szCs w:val="16"/>
        </w:rPr>
        <w:t>companies</w:t>
      </w:r>
      <w:proofErr w:type="gramEnd"/>
      <w:r w:rsidRPr="0037610B">
        <w:rPr>
          <w:rFonts w:ascii="Arial" w:hAnsi="Arial" w:cs="Arial"/>
          <w:i/>
          <w:iCs/>
          <w:sz w:val="16"/>
          <w:szCs w:val="16"/>
        </w:rPr>
        <w:t xml:space="preserve"> representative of the market structure of 26 emerging market countries in Europe, Latin America, and the Pacific Basin. It </w:t>
      </w:r>
      <w:r w:rsidRPr="0037610B">
        <w:rPr>
          <w:rFonts w:ascii="Arial" w:hAnsi="Arial" w:cs="Arial"/>
          <w:i/>
          <w:sz w:val="16"/>
          <w:szCs w:val="16"/>
        </w:rPr>
        <w:t xml:space="preserve">excludes closed markets and those shares in otherwise free markets that are not purchasable by foreigners. </w:t>
      </w:r>
      <w:r w:rsidRPr="0037610B">
        <w:rPr>
          <w:rFonts w:ascii="Arial" w:hAnsi="Arial" w:cs="Arial"/>
          <w:i/>
          <w:iCs/>
          <w:sz w:val="16"/>
          <w:szCs w:val="16"/>
        </w:rPr>
        <w:t xml:space="preserve">The Bloomberg Barclays Aggregate Bond Index is an unmanaged market value-weighted index representing securities that are SEC-registered, taxable, and dollar-denominated. It covers the U.S. investment-grade fixed-rate bond market, with index components for a combination of the Bloomberg Barclays government and corporate securities, mortgage-backed pass-through securities, and asset-backed securities. The Bloomberg Barclays U.S. Corporate High Yield Index covers the USD-denominated, non-investment-grade, fixed-rate, taxable corporate bond market. Securities are classified as </w:t>
      </w:r>
      <w:proofErr w:type="gramStart"/>
      <w:r w:rsidRPr="0037610B">
        <w:rPr>
          <w:rFonts w:ascii="Arial" w:hAnsi="Arial" w:cs="Arial"/>
          <w:i/>
          <w:iCs/>
          <w:sz w:val="16"/>
          <w:szCs w:val="16"/>
        </w:rPr>
        <w:t>high-yield</w:t>
      </w:r>
      <w:proofErr w:type="gramEnd"/>
      <w:r w:rsidRPr="0037610B">
        <w:rPr>
          <w:rFonts w:ascii="Arial" w:hAnsi="Arial" w:cs="Arial"/>
          <w:i/>
          <w:iCs/>
          <w:sz w:val="16"/>
          <w:szCs w:val="16"/>
        </w:rPr>
        <w:t xml:space="preserve"> if the middle rating of Moody’s, Fitch, and S&amp;P is Ba1/BB+/BB+ or below. </w:t>
      </w:r>
    </w:p>
    <w:p w14:paraId="76601B7C" w14:textId="77777777" w:rsidR="003202B4" w:rsidRPr="0037610B" w:rsidRDefault="003202B4" w:rsidP="0037610B">
      <w:pPr>
        <w:spacing w:after="0" w:line="240" w:lineRule="auto"/>
        <w:ind w:left="-720" w:firstLine="720"/>
        <w:jc w:val="center"/>
        <w:rPr>
          <w:rFonts w:ascii="Arial" w:hAnsi="Arial" w:cs="Arial"/>
          <w:b/>
          <w:sz w:val="16"/>
          <w:szCs w:val="16"/>
        </w:rPr>
      </w:pPr>
    </w:p>
    <w:p w14:paraId="600B5018" w14:textId="77777777" w:rsidR="003202B4" w:rsidRPr="0037610B" w:rsidRDefault="003202B4" w:rsidP="0037610B">
      <w:pPr>
        <w:spacing w:after="0" w:line="240" w:lineRule="auto"/>
        <w:ind w:left="-720" w:firstLine="720"/>
        <w:jc w:val="center"/>
        <w:rPr>
          <w:rFonts w:ascii="Arial" w:hAnsi="Arial" w:cs="Arial"/>
          <w:b/>
          <w:sz w:val="16"/>
          <w:szCs w:val="16"/>
        </w:rPr>
      </w:pPr>
      <w:r w:rsidRPr="0037610B">
        <w:rPr>
          <w:rFonts w:ascii="Arial" w:hAnsi="Arial" w:cs="Arial"/>
          <w:b/>
          <w:sz w:val="16"/>
          <w:szCs w:val="16"/>
        </w:rPr>
        <w:t>###</w:t>
      </w:r>
    </w:p>
    <w:p w14:paraId="2D0C7FDD" w14:textId="77777777" w:rsidR="003202B4" w:rsidRPr="0037610B" w:rsidRDefault="003202B4" w:rsidP="0037610B">
      <w:pPr>
        <w:spacing w:after="0" w:line="240" w:lineRule="auto"/>
        <w:ind w:left="-720" w:firstLine="720"/>
        <w:jc w:val="center"/>
        <w:rPr>
          <w:rFonts w:ascii="Arial" w:hAnsi="Arial" w:cs="Arial"/>
          <w:b/>
          <w:sz w:val="16"/>
          <w:szCs w:val="16"/>
        </w:rPr>
      </w:pPr>
    </w:p>
    <w:p w14:paraId="5391FE47" w14:textId="77777777" w:rsidR="003202B4" w:rsidRPr="0037610B" w:rsidRDefault="003202B4" w:rsidP="0037610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37610B">
        <w:rPr>
          <w:rFonts w:ascii="Arial" w:hAnsi="Arial" w:cs="Arial"/>
          <w:color w:val="FF0000"/>
          <w:sz w:val="16"/>
          <w:szCs w:val="16"/>
        </w:rPr>
        <w:t>DBA Name</w:t>
      </w:r>
      <w:r w:rsidRPr="0037610B">
        <w:rPr>
          <w:rFonts w:ascii="Arial" w:hAnsi="Arial" w:cs="Arial"/>
          <w:sz w:val="16"/>
          <w:szCs w:val="16"/>
        </w:rPr>
        <w:t xml:space="preserve"> is located at </w:t>
      </w:r>
      <w:r w:rsidRPr="0037610B">
        <w:rPr>
          <w:rFonts w:ascii="Arial" w:hAnsi="Arial" w:cs="Arial"/>
          <w:color w:val="FF0000"/>
          <w:sz w:val="16"/>
          <w:szCs w:val="16"/>
        </w:rPr>
        <w:t>Full Registered Branch Address</w:t>
      </w:r>
      <w:r w:rsidRPr="0037610B">
        <w:rPr>
          <w:rFonts w:ascii="Arial" w:hAnsi="Arial" w:cs="Arial"/>
          <w:sz w:val="16"/>
          <w:szCs w:val="16"/>
        </w:rPr>
        <w:t xml:space="preserve"> and can be reached at </w:t>
      </w:r>
      <w:r w:rsidRPr="0037610B">
        <w:rPr>
          <w:rFonts w:ascii="Arial" w:hAnsi="Arial" w:cs="Arial"/>
          <w:color w:val="FF0000"/>
          <w:sz w:val="16"/>
          <w:szCs w:val="16"/>
        </w:rPr>
        <w:t>Firm Phone Number</w:t>
      </w:r>
      <w:r w:rsidRPr="0037610B">
        <w:rPr>
          <w:rFonts w:ascii="Arial" w:hAnsi="Arial" w:cs="Arial"/>
          <w:sz w:val="16"/>
          <w:szCs w:val="16"/>
        </w:rPr>
        <w:t xml:space="preserve">. </w:t>
      </w:r>
      <w:r w:rsidRPr="0037610B">
        <w:rPr>
          <w:rFonts w:ascii="Arial" w:hAnsi="Arial" w:cs="Arial"/>
          <w:color w:val="FF0000"/>
          <w:sz w:val="16"/>
          <w:szCs w:val="16"/>
        </w:rPr>
        <w:t xml:space="preserve">[Insert disclosure from approved letterhead.] If you need assistance with your disclosure, please call Compliance at x9603 or email Advertising Review at </w:t>
      </w:r>
      <w:hyperlink r:id="rId7" w:history="1">
        <w:r w:rsidRPr="0037610B">
          <w:rPr>
            <w:rStyle w:val="Hyperlink"/>
            <w:rFonts w:ascii="Arial" w:hAnsi="Arial" w:cs="Arial"/>
            <w:color w:val="FF0000"/>
            <w:sz w:val="16"/>
            <w:szCs w:val="16"/>
          </w:rPr>
          <w:t>advertising@commonwealth.com</w:t>
        </w:r>
      </w:hyperlink>
      <w:r w:rsidRPr="0037610B">
        <w:rPr>
          <w:rFonts w:ascii="Arial" w:hAnsi="Arial" w:cs="Arial"/>
          <w:color w:val="FF0000"/>
          <w:sz w:val="16"/>
          <w:szCs w:val="16"/>
        </w:rPr>
        <w:t>.</w:t>
      </w:r>
    </w:p>
    <w:p w14:paraId="22D4BE17" w14:textId="77777777" w:rsidR="003202B4" w:rsidRPr="0037610B" w:rsidRDefault="003202B4" w:rsidP="0037610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8D3918" w14:textId="77777777" w:rsidR="003202B4" w:rsidRPr="0037610B" w:rsidRDefault="003202B4" w:rsidP="0037610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610B">
        <w:rPr>
          <w:rFonts w:ascii="Arial" w:hAnsi="Arial" w:cs="Arial"/>
          <w:sz w:val="16"/>
          <w:szCs w:val="16"/>
        </w:rPr>
        <w:t>Authored by Brad McMillan, CFA</w:t>
      </w:r>
      <w:r w:rsidRPr="0037610B">
        <w:rPr>
          <w:rFonts w:ascii="Arial" w:hAnsi="Arial" w:cs="Arial"/>
          <w:sz w:val="16"/>
          <w:szCs w:val="16"/>
          <w:vertAlign w:val="superscript"/>
        </w:rPr>
        <w:t>®</w:t>
      </w:r>
      <w:r w:rsidRPr="0037610B">
        <w:rPr>
          <w:rFonts w:ascii="Arial" w:hAnsi="Arial" w:cs="Arial"/>
          <w:sz w:val="16"/>
          <w:szCs w:val="16"/>
        </w:rPr>
        <w:t>, CAIA, MAI, managing principal, chief investment officer, and Sam Millette, senior investment research analyst, at Commonwealth Financial Network</w:t>
      </w:r>
      <w:r w:rsidRPr="0037610B">
        <w:rPr>
          <w:rFonts w:ascii="Arial" w:hAnsi="Arial" w:cs="Arial"/>
          <w:b/>
          <w:sz w:val="16"/>
          <w:szCs w:val="16"/>
          <w:vertAlign w:val="superscript"/>
        </w:rPr>
        <w:t>®</w:t>
      </w:r>
      <w:r w:rsidRPr="0037610B">
        <w:rPr>
          <w:rFonts w:ascii="Arial" w:hAnsi="Arial" w:cs="Arial"/>
          <w:sz w:val="16"/>
          <w:szCs w:val="16"/>
        </w:rPr>
        <w:t>.</w:t>
      </w:r>
    </w:p>
    <w:p w14:paraId="02D4252A" w14:textId="77777777" w:rsidR="003202B4" w:rsidRPr="0037610B" w:rsidRDefault="003202B4" w:rsidP="0037610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419158" w14:textId="02DA8F79" w:rsidR="003202B4" w:rsidRPr="0037610B" w:rsidRDefault="003202B4" w:rsidP="0037610B">
      <w:pPr>
        <w:spacing w:after="0" w:line="240" w:lineRule="auto"/>
        <w:ind w:left="-720" w:firstLine="720"/>
        <w:rPr>
          <w:rFonts w:ascii="Arial" w:hAnsi="Arial" w:cs="Arial"/>
          <w:sz w:val="16"/>
          <w:szCs w:val="16"/>
        </w:rPr>
      </w:pPr>
      <w:r w:rsidRPr="0037610B">
        <w:rPr>
          <w:rFonts w:ascii="Arial" w:hAnsi="Arial" w:cs="Arial"/>
          <w:b/>
          <w:sz w:val="16"/>
          <w:szCs w:val="16"/>
        </w:rPr>
        <w:t>© 2021 Commonwealth Financial Network</w:t>
      </w:r>
      <w:r w:rsidRPr="0037610B">
        <w:rPr>
          <w:rFonts w:ascii="Arial" w:hAnsi="Arial" w:cs="Arial"/>
          <w:b/>
          <w:sz w:val="16"/>
          <w:szCs w:val="16"/>
          <w:vertAlign w:val="superscript"/>
        </w:rPr>
        <w:t>®</w:t>
      </w:r>
    </w:p>
    <w:sectPr w:rsidR="003202B4" w:rsidRPr="0037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67494" w14:textId="77777777" w:rsidR="00D118CD" w:rsidRDefault="00D118CD" w:rsidP="00777366">
      <w:pPr>
        <w:spacing w:after="0" w:line="240" w:lineRule="auto"/>
      </w:pPr>
      <w:r>
        <w:separator/>
      </w:r>
    </w:p>
  </w:endnote>
  <w:endnote w:type="continuationSeparator" w:id="0">
    <w:p w14:paraId="31AB1F24" w14:textId="77777777" w:rsidR="00D118CD" w:rsidRDefault="00D118CD" w:rsidP="0077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1D629" w14:textId="77777777" w:rsidR="00D118CD" w:rsidRDefault="00D118CD" w:rsidP="00777366">
      <w:pPr>
        <w:spacing w:after="0" w:line="240" w:lineRule="auto"/>
      </w:pPr>
      <w:r>
        <w:separator/>
      </w:r>
    </w:p>
  </w:footnote>
  <w:footnote w:type="continuationSeparator" w:id="0">
    <w:p w14:paraId="42D36E3D" w14:textId="77777777" w:rsidR="00D118CD" w:rsidRDefault="00D118CD" w:rsidP="0077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1A"/>
    <w:rsid w:val="000541B5"/>
    <w:rsid w:val="000C5D26"/>
    <w:rsid w:val="00103DB3"/>
    <w:rsid w:val="00144526"/>
    <w:rsid w:val="00191936"/>
    <w:rsid w:val="00201D8D"/>
    <w:rsid w:val="00231228"/>
    <w:rsid w:val="00251E1B"/>
    <w:rsid w:val="002D3D1E"/>
    <w:rsid w:val="00304B2A"/>
    <w:rsid w:val="003202B4"/>
    <w:rsid w:val="0037610B"/>
    <w:rsid w:val="003B1C46"/>
    <w:rsid w:val="003C4EA1"/>
    <w:rsid w:val="0041543B"/>
    <w:rsid w:val="0046771A"/>
    <w:rsid w:val="0049148C"/>
    <w:rsid w:val="00495901"/>
    <w:rsid w:val="004B1553"/>
    <w:rsid w:val="004B73EE"/>
    <w:rsid w:val="004D6A38"/>
    <w:rsid w:val="005530F2"/>
    <w:rsid w:val="0059171A"/>
    <w:rsid w:val="005974CC"/>
    <w:rsid w:val="0060330B"/>
    <w:rsid w:val="00611479"/>
    <w:rsid w:val="006238ED"/>
    <w:rsid w:val="00655C2F"/>
    <w:rsid w:val="006948F0"/>
    <w:rsid w:val="006C071D"/>
    <w:rsid w:val="006D16C3"/>
    <w:rsid w:val="006F506F"/>
    <w:rsid w:val="0077713F"/>
    <w:rsid w:val="00777366"/>
    <w:rsid w:val="00806425"/>
    <w:rsid w:val="008536D4"/>
    <w:rsid w:val="00875B1E"/>
    <w:rsid w:val="008C3D17"/>
    <w:rsid w:val="0092761F"/>
    <w:rsid w:val="009746ED"/>
    <w:rsid w:val="009F26BD"/>
    <w:rsid w:val="00A01A6D"/>
    <w:rsid w:val="00A547E4"/>
    <w:rsid w:val="00A7641E"/>
    <w:rsid w:val="00B45E0B"/>
    <w:rsid w:val="00BD506C"/>
    <w:rsid w:val="00C0204F"/>
    <w:rsid w:val="00CA6F74"/>
    <w:rsid w:val="00CA7B68"/>
    <w:rsid w:val="00D118CD"/>
    <w:rsid w:val="00D23CE7"/>
    <w:rsid w:val="00D70294"/>
    <w:rsid w:val="00D7558B"/>
    <w:rsid w:val="00D85FE7"/>
    <w:rsid w:val="00D95E23"/>
    <w:rsid w:val="00DC7A86"/>
    <w:rsid w:val="00DD7610"/>
    <w:rsid w:val="00DE49D5"/>
    <w:rsid w:val="00DE57F5"/>
    <w:rsid w:val="00E14CD3"/>
    <w:rsid w:val="00E33864"/>
    <w:rsid w:val="00E33A6E"/>
    <w:rsid w:val="00F053DC"/>
    <w:rsid w:val="00F33BA8"/>
    <w:rsid w:val="00F46847"/>
    <w:rsid w:val="00F72A30"/>
    <w:rsid w:val="00F96D6C"/>
    <w:rsid w:val="00FD7457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005B"/>
  <w15:chartTrackingRefBased/>
  <w15:docId w15:val="{EF57E102-F212-4AC6-B13B-691E4F9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2B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66"/>
  </w:style>
  <w:style w:type="paragraph" w:styleId="Footer">
    <w:name w:val="footer"/>
    <w:basedOn w:val="Normal"/>
    <w:link w:val="FooterChar"/>
    <w:uiPriority w:val="99"/>
    <w:unhideWhenUsed/>
    <w:rsid w:val="0077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66"/>
  </w:style>
  <w:style w:type="paragraph" w:styleId="BalloonText">
    <w:name w:val="Balloon Text"/>
    <w:basedOn w:val="Normal"/>
    <w:link w:val="BalloonTextChar"/>
    <w:uiPriority w:val="99"/>
    <w:semiHidden/>
    <w:unhideWhenUsed/>
    <w:rsid w:val="00B4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vertising@commonweal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1503</Words>
  <Characters>8568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Millette</dc:creator>
  <cp:keywords/>
  <dc:description/>
  <cp:lastModifiedBy>Demi Sperazza</cp:lastModifiedBy>
  <cp:revision>2</cp:revision>
  <dcterms:created xsi:type="dcterms:W3CDTF">2021-04-05T21:31:00Z</dcterms:created>
  <dcterms:modified xsi:type="dcterms:W3CDTF">2021-04-05T21:31:00Z</dcterms:modified>
</cp:coreProperties>
</file>